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C997" w14:textId="77777777" w:rsidR="00AC641B" w:rsidRPr="00F20B53" w:rsidRDefault="00F20B53" w:rsidP="001739FE">
      <w:pPr>
        <w:pStyle w:val="Title"/>
        <w:pBdr>
          <w:bottom w:val="single" w:sz="8" w:space="8" w:color="0085AC"/>
        </w:pBdr>
        <w:rPr>
          <w:sz w:val="44"/>
          <w:szCs w:val="44"/>
        </w:rPr>
      </w:pPr>
      <w:r w:rsidRPr="00F20B53">
        <w:rPr>
          <w:sz w:val="44"/>
          <w:szCs w:val="44"/>
        </w:rPr>
        <w:t>WAPC OP2.4 – Planning for School Sites</w:t>
      </w:r>
    </w:p>
    <w:p w14:paraId="279261BA" w14:textId="77777777" w:rsidR="004C266B" w:rsidRPr="004C266B" w:rsidRDefault="00F20B53" w:rsidP="004C266B">
      <w:pPr>
        <w:pStyle w:val="Title"/>
        <w:pBdr>
          <w:bottom w:val="single" w:sz="8" w:space="8" w:color="0085AC"/>
        </w:pBdr>
        <w:ind w:left="3119" w:hanging="3119"/>
        <w:rPr>
          <w:color w:val="FF0000"/>
          <w:sz w:val="32"/>
          <w:szCs w:val="32"/>
        </w:rPr>
      </w:pPr>
      <w:r w:rsidRPr="00F20B53">
        <w:rPr>
          <w:rStyle w:val="DocumentSubtitle"/>
          <w:sz w:val="32"/>
          <w:szCs w:val="32"/>
        </w:rPr>
        <w:t>FACT SHEET 1 – Pre-lodgement Structure Plan Referral</w:t>
      </w:r>
      <w:r w:rsidR="001739FE" w:rsidRPr="001739FE">
        <w:rPr>
          <w:rStyle w:val="DocumentSubtitle"/>
          <w:color w:val="FF0000"/>
          <w:sz w:val="32"/>
          <w:szCs w:val="32"/>
        </w:rPr>
        <w:t xml:space="preserve"> </w:t>
      </w:r>
    </w:p>
    <w:p w14:paraId="35BBD511" w14:textId="77777777" w:rsidR="00D21BAC" w:rsidRPr="0061215E" w:rsidRDefault="001E3848" w:rsidP="002D00AA">
      <w:pPr>
        <w:pStyle w:val="Heading1"/>
      </w:pPr>
      <w:r>
        <w:t>Purpose of a structure plan</w:t>
      </w:r>
    </w:p>
    <w:p w14:paraId="01E9C55F" w14:textId="77777777" w:rsidR="001E3848" w:rsidRDefault="001E3848" w:rsidP="001E3848">
      <w:pPr>
        <w:jc w:val="both"/>
      </w:pPr>
      <w:r>
        <w:t xml:space="preserve">A structure plan </w:t>
      </w:r>
      <w:r w:rsidRPr="008503CF">
        <w:t>provides a basis for zoning (including residential density) and</w:t>
      </w:r>
      <w:r>
        <w:t xml:space="preserve"> </w:t>
      </w:r>
      <w:r w:rsidRPr="008503CF">
        <w:t>subdivision of land</w:t>
      </w:r>
      <w:r>
        <w:t xml:space="preserve">.  It also </w:t>
      </w:r>
      <w:r w:rsidRPr="007260C8">
        <w:t>provide</w:t>
      </w:r>
      <w:r>
        <w:t>s</w:t>
      </w:r>
      <w:r w:rsidRPr="007260C8">
        <w:t xml:space="preserve"> the framework for the coordinated provision of services, infrastructure, land</w:t>
      </w:r>
      <w:r>
        <w:t xml:space="preserve"> use and development of an area.</w:t>
      </w:r>
    </w:p>
    <w:p w14:paraId="004578F9" w14:textId="77777777" w:rsidR="001E3848" w:rsidRPr="0061215E" w:rsidRDefault="001E3848" w:rsidP="001E3848">
      <w:pPr>
        <w:pStyle w:val="Heading1"/>
      </w:pPr>
      <w:r>
        <w:t xml:space="preserve">Significance of </w:t>
      </w:r>
      <w:r w:rsidRPr="00F0150C">
        <w:t xml:space="preserve">a structure plan </w:t>
      </w:r>
      <w:r>
        <w:t xml:space="preserve">to the Department of Education </w:t>
      </w:r>
    </w:p>
    <w:p w14:paraId="043EA96D" w14:textId="77777777" w:rsidR="001E3848" w:rsidRDefault="001E3848" w:rsidP="001E3848">
      <w:pPr>
        <w:jc w:val="both"/>
      </w:pPr>
      <w:r>
        <w:t xml:space="preserve">A structure plan may impact on the future public school planning for a locality. It generally identifies planning elements including, but not limited to, the anticipated dwelling yield, road and community infrastructure, utility provision and physical or environmental site conditions.  These demands are critical to informing the requirement for a public school and the adequacy, location and suitability of the public school site. </w:t>
      </w:r>
    </w:p>
    <w:p w14:paraId="72F67136" w14:textId="77777777" w:rsidR="001E3848" w:rsidRDefault="001E3848" w:rsidP="001E3848">
      <w:pPr>
        <w:jc w:val="both"/>
      </w:pPr>
      <w:r>
        <w:t xml:space="preserve">Additionally, a structure plan can also often provide a basis for developer contribution arrangements as part of future subdivision stages or development.  </w:t>
      </w:r>
    </w:p>
    <w:p w14:paraId="73622487" w14:textId="77777777" w:rsidR="00ED31F3" w:rsidRPr="0061215E" w:rsidRDefault="00ED31F3" w:rsidP="00ED31F3">
      <w:pPr>
        <w:pStyle w:val="Heading1"/>
      </w:pPr>
      <w:r>
        <w:t>S</w:t>
      </w:r>
      <w:r w:rsidRPr="00F0150C">
        <w:t xml:space="preserve">tructure plan </w:t>
      </w:r>
      <w:r>
        <w:t xml:space="preserve">process </w:t>
      </w:r>
    </w:p>
    <w:p w14:paraId="17203A91" w14:textId="77777777" w:rsidR="00494F03" w:rsidRDefault="00494F03" w:rsidP="00494F03">
      <w:pPr>
        <w:jc w:val="both"/>
      </w:pPr>
      <w:r w:rsidRPr="007260C8">
        <w:t xml:space="preserve">The </w:t>
      </w:r>
      <w:hyperlink r:id="rId10" w:history="1">
        <w:r w:rsidRPr="00494F03">
          <w:rPr>
            <w:rStyle w:val="Hyperlink"/>
            <w:i/>
          </w:rPr>
          <w:t>Planning and Development (Local Planning Schemes) Regulations 2015</w:t>
        </w:r>
      </w:hyperlink>
      <w:r>
        <w:t xml:space="preserve"> </w:t>
      </w:r>
      <w:r w:rsidRPr="007260C8">
        <w:t>outline the requirements and procedures to follow to prepare a structure plan</w:t>
      </w:r>
      <w:r>
        <w:t xml:space="preserve">. </w:t>
      </w:r>
    </w:p>
    <w:p w14:paraId="4A739954" w14:textId="5717AAC5" w:rsidR="00494F03" w:rsidRDefault="00494F03" w:rsidP="0053387D">
      <w:pPr>
        <w:jc w:val="both"/>
      </w:pPr>
      <w:r>
        <w:t xml:space="preserve">Of particular significance, the </w:t>
      </w:r>
      <w:r w:rsidRPr="00A525E0">
        <w:t xml:space="preserve">Western Australian Planning Commission’s (WAPC) </w:t>
      </w:r>
      <w:r w:rsidRPr="00F72EDB">
        <w:t>Operational Policy 2.4 – Planning for School Sites (OP 2.4)</w:t>
      </w:r>
      <w:r>
        <w:t xml:space="preserve"> requires proponents to seek early consultation with the Department of Education (Department) during the preparation of a structure plan.  </w:t>
      </w:r>
      <w:r w:rsidRPr="00503D47">
        <w:t xml:space="preserve">Early consultation will assist in securing </w:t>
      </w:r>
      <w:r>
        <w:t xml:space="preserve">adequate and </w:t>
      </w:r>
      <w:r w:rsidRPr="00503D47">
        <w:t xml:space="preserve">suitably sized and located </w:t>
      </w:r>
      <w:r>
        <w:t xml:space="preserve">school </w:t>
      </w:r>
      <w:r w:rsidRPr="00503D47">
        <w:t xml:space="preserve">sites, and </w:t>
      </w:r>
      <w:r>
        <w:t>consideration</w:t>
      </w:r>
      <w:r w:rsidRPr="00503D47">
        <w:t xml:space="preserve"> for co-location with other community facilities</w:t>
      </w:r>
      <w:r>
        <w:t>. In addition, it provides the opportunity for the Department to seek technical advice from other relevant government agencies on matters</w:t>
      </w:r>
      <w:r w:rsidR="00775472">
        <w:t>,</w:t>
      </w:r>
      <w:r>
        <w:t xml:space="preserve"> which may impact on the delivery of public school sites and the broader planning of the locality including</w:t>
      </w:r>
      <w:r w:rsidR="00775472">
        <w:t>,</w:t>
      </w:r>
      <w:r>
        <w:t xml:space="preserve"> but not limited to</w:t>
      </w:r>
      <w:r w:rsidR="00775472">
        <w:t>,</w:t>
      </w:r>
      <w:r>
        <w:t xml:space="preserve"> safe active street design, public transport routes, and infrastructure and utility provision.</w:t>
      </w:r>
    </w:p>
    <w:p w14:paraId="4FCDFE63" w14:textId="77777777" w:rsidR="00494F03" w:rsidRPr="00A5435A" w:rsidRDefault="00494F03" w:rsidP="0053387D">
      <w:pPr>
        <w:jc w:val="both"/>
      </w:pPr>
      <w:r w:rsidRPr="00A5435A">
        <w:t xml:space="preserve">A </w:t>
      </w:r>
      <w:r>
        <w:t>proponent</w:t>
      </w:r>
      <w:r w:rsidRPr="00A5435A">
        <w:t xml:space="preserve"> is required to demonstrate that they have engaged with the Department early in the planning process and to provide formal evidence of that engagement (e.g. letter from Department of Education) when the structure plan is lodged</w:t>
      </w:r>
      <w:r>
        <w:t xml:space="preserve"> formally with the local government or WAPC.</w:t>
      </w:r>
    </w:p>
    <w:p w14:paraId="2CA4F1C2" w14:textId="77777777" w:rsidR="0086191A" w:rsidRPr="0061215E" w:rsidRDefault="0086191A" w:rsidP="0086191A">
      <w:pPr>
        <w:pStyle w:val="Heading1"/>
      </w:pPr>
      <w:r>
        <w:t>Types of structure plans which require pre-lodgement referral</w:t>
      </w:r>
    </w:p>
    <w:p w14:paraId="4EDB787E" w14:textId="77777777" w:rsidR="0086191A" w:rsidRDefault="0086191A" w:rsidP="0086191A">
      <w:pPr>
        <w:jc w:val="both"/>
      </w:pPr>
      <w:r>
        <w:t>A</w:t>
      </w:r>
      <w:r w:rsidRPr="0098602B">
        <w:t>ll types of structure plans and amendments</w:t>
      </w:r>
      <w:r>
        <w:t xml:space="preserve"> that propose residential development</w:t>
      </w:r>
      <w:r w:rsidRPr="0098602B">
        <w:t xml:space="preserve"> including those where school sites are not identified or proposed to be modified</w:t>
      </w:r>
      <w:r>
        <w:t xml:space="preserve"> are required to be referred to the Department.</w:t>
      </w:r>
    </w:p>
    <w:p w14:paraId="54AA4B85" w14:textId="5D93AA2B" w:rsidR="00365B17" w:rsidRDefault="0086191A" w:rsidP="0086191A">
      <w:pPr>
        <w:jc w:val="both"/>
      </w:pPr>
      <w:r w:rsidRPr="0098602B">
        <w:t xml:space="preserve">It is essential that the Department and </w:t>
      </w:r>
      <w:r>
        <w:t>WAPC</w:t>
      </w:r>
      <w:r w:rsidRPr="0098602B">
        <w:t xml:space="preserve"> are aware of broader land use planning and surrounding structure plan and subdivision proposals which may impact current </w:t>
      </w:r>
      <w:r>
        <w:t xml:space="preserve">and future school site planning.  </w:t>
      </w:r>
    </w:p>
    <w:p w14:paraId="04F41DB9" w14:textId="77777777" w:rsidR="005F7C08" w:rsidRDefault="005F7C08" w:rsidP="0086191A">
      <w:pPr>
        <w:jc w:val="both"/>
      </w:pPr>
    </w:p>
    <w:p w14:paraId="24200DAD" w14:textId="77777777" w:rsidR="0086191A" w:rsidRPr="0061215E" w:rsidRDefault="0086191A" w:rsidP="0086191A">
      <w:pPr>
        <w:pStyle w:val="Heading1"/>
      </w:pPr>
      <w:r w:rsidRPr="00AE7953">
        <w:lastRenderedPageBreak/>
        <w:t xml:space="preserve">Information to be submitted </w:t>
      </w:r>
      <w:r>
        <w:t>to the Department</w:t>
      </w:r>
    </w:p>
    <w:p w14:paraId="7CB96FF3" w14:textId="77777777" w:rsidR="0086191A" w:rsidRDefault="0086191A" w:rsidP="0086191A">
      <w:pPr>
        <w:jc w:val="both"/>
      </w:pPr>
      <w:r>
        <w:t>The proponent is to submit the following information to the Department as part of the pre-lodgement referral:</w:t>
      </w:r>
    </w:p>
    <w:p w14:paraId="7108AFC4" w14:textId="77777777" w:rsidR="0086191A" w:rsidRDefault="0086191A" w:rsidP="0086191A">
      <w:pPr>
        <w:pStyle w:val="ListParagraph"/>
        <w:numPr>
          <w:ilvl w:val="0"/>
          <w:numId w:val="26"/>
        </w:numPr>
        <w:spacing w:before="0" w:after="160" w:line="259" w:lineRule="auto"/>
        <w:contextualSpacing/>
        <w:jc w:val="both"/>
      </w:pPr>
      <w:r>
        <w:t>A structure plan including the planning report;</w:t>
      </w:r>
    </w:p>
    <w:p w14:paraId="754BE105" w14:textId="77777777" w:rsidR="0086191A" w:rsidRPr="00F44EE1" w:rsidRDefault="0086191A" w:rsidP="0086191A">
      <w:pPr>
        <w:pStyle w:val="ListParagraph"/>
        <w:numPr>
          <w:ilvl w:val="0"/>
          <w:numId w:val="26"/>
        </w:numPr>
        <w:spacing w:before="0" w:after="160" w:line="259" w:lineRule="auto"/>
        <w:contextualSpacing/>
        <w:jc w:val="both"/>
      </w:pPr>
      <w:r>
        <w:t>If applicable, an approved district structure plan associated with the proposed local structure plan;</w:t>
      </w:r>
    </w:p>
    <w:p w14:paraId="7B046F87" w14:textId="77777777" w:rsidR="0086191A" w:rsidRDefault="0086191A" w:rsidP="0086191A">
      <w:pPr>
        <w:pStyle w:val="ListParagraph"/>
        <w:numPr>
          <w:ilvl w:val="0"/>
          <w:numId w:val="24"/>
        </w:numPr>
        <w:spacing w:before="0" w:after="160" w:line="259" w:lineRule="auto"/>
        <w:contextualSpacing/>
        <w:jc w:val="both"/>
      </w:pPr>
      <w:r>
        <w:t xml:space="preserve">Supporting technical reports which include, but not limited to: </w:t>
      </w:r>
    </w:p>
    <w:p w14:paraId="743791D7" w14:textId="77777777" w:rsidR="0086191A" w:rsidRDefault="0086191A" w:rsidP="0086191A">
      <w:pPr>
        <w:pStyle w:val="ListParagraph"/>
        <w:numPr>
          <w:ilvl w:val="1"/>
          <w:numId w:val="25"/>
        </w:numPr>
        <w:spacing w:before="0" w:after="160" w:line="259" w:lineRule="auto"/>
        <w:contextualSpacing/>
        <w:jc w:val="both"/>
      </w:pPr>
      <w:r>
        <w:t>landform and topographic contour map;</w:t>
      </w:r>
    </w:p>
    <w:p w14:paraId="12E2D26E" w14:textId="77777777" w:rsidR="0086191A" w:rsidRPr="00A10C79" w:rsidRDefault="0086191A" w:rsidP="0086191A">
      <w:pPr>
        <w:pStyle w:val="ListParagraph"/>
        <w:numPr>
          <w:ilvl w:val="1"/>
          <w:numId w:val="25"/>
        </w:numPr>
        <w:spacing w:before="0" w:after="160" w:line="259" w:lineRule="auto"/>
        <w:contextualSpacing/>
        <w:jc w:val="both"/>
      </w:pPr>
      <w:r w:rsidRPr="00A10C79">
        <w:t>flora and fauna survey and mapping;</w:t>
      </w:r>
    </w:p>
    <w:p w14:paraId="22AF7A0A" w14:textId="77777777" w:rsidR="0086191A" w:rsidRPr="00A10C79" w:rsidRDefault="0086191A" w:rsidP="0086191A">
      <w:pPr>
        <w:pStyle w:val="ListParagraph"/>
        <w:numPr>
          <w:ilvl w:val="1"/>
          <w:numId w:val="25"/>
        </w:numPr>
        <w:spacing w:before="0" w:after="160" w:line="259" w:lineRule="auto"/>
        <w:contextualSpacing/>
        <w:jc w:val="both"/>
      </w:pPr>
      <w:r w:rsidRPr="00A10C79">
        <w:t xml:space="preserve">hydrological and geotechnical investigation; </w:t>
      </w:r>
    </w:p>
    <w:p w14:paraId="40E98E53" w14:textId="77777777" w:rsidR="0086191A" w:rsidRPr="00A10C79" w:rsidRDefault="0086191A" w:rsidP="0086191A">
      <w:pPr>
        <w:pStyle w:val="ListParagraph"/>
        <w:numPr>
          <w:ilvl w:val="1"/>
          <w:numId w:val="25"/>
        </w:numPr>
        <w:spacing w:before="0" w:after="160" w:line="259" w:lineRule="auto"/>
        <w:contextualSpacing/>
        <w:jc w:val="both"/>
      </w:pPr>
      <w:r>
        <w:t xml:space="preserve">heritage and </w:t>
      </w:r>
      <w:r w:rsidRPr="00A10C79">
        <w:t>environmental including any operational buffer areas;</w:t>
      </w:r>
    </w:p>
    <w:p w14:paraId="5B05E4EF" w14:textId="77777777" w:rsidR="0086191A" w:rsidRPr="00A10C79" w:rsidRDefault="0086191A" w:rsidP="0086191A">
      <w:pPr>
        <w:pStyle w:val="ListParagraph"/>
        <w:numPr>
          <w:ilvl w:val="1"/>
          <w:numId w:val="25"/>
        </w:numPr>
        <w:spacing w:before="0" w:after="160" w:line="259" w:lineRule="auto"/>
        <w:contextualSpacing/>
        <w:jc w:val="both"/>
      </w:pPr>
      <w:r w:rsidRPr="00A10C79">
        <w:t>bushfire prone areas and Bushfire Attack Level (BAL) contour map; and</w:t>
      </w:r>
    </w:p>
    <w:p w14:paraId="0C2C9C6A" w14:textId="77777777" w:rsidR="0086191A" w:rsidRPr="00253EB2" w:rsidRDefault="0086191A" w:rsidP="0086191A">
      <w:pPr>
        <w:pStyle w:val="ListParagraph"/>
        <w:numPr>
          <w:ilvl w:val="1"/>
          <w:numId w:val="25"/>
        </w:numPr>
        <w:spacing w:before="0" w:after="160" w:line="259" w:lineRule="auto"/>
        <w:contextualSpacing/>
        <w:jc w:val="both"/>
      </w:pPr>
      <w:r w:rsidRPr="00A10C79">
        <w:t>traffic impact assessment.</w:t>
      </w:r>
    </w:p>
    <w:p w14:paraId="26793E17" w14:textId="77777777" w:rsidR="0086191A" w:rsidRDefault="0086191A" w:rsidP="0086191A">
      <w:pPr>
        <w:jc w:val="both"/>
      </w:pPr>
      <w:r>
        <w:t xml:space="preserve">It is acknowledged that a full suite of final technical reports may not be available at the pre-lodgement stage. The Department will review structure plan proposals at a broader level based on the best available information provided, with more detailed assessment undertaken at the formal public consultation stage. </w:t>
      </w:r>
    </w:p>
    <w:p w14:paraId="144FB8F2" w14:textId="77777777" w:rsidR="0086191A" w:rsidRDefault="0086191A" w:rsidP="0086191A">
      <w:pPr>
        <w:jc w:val="both"/>
      </w:pPr>
      <w:r>
        <w:t xml:space="preserve">It should be noted that all structure plans proposing a future primary school sites </w:t>
      </w:r>
      <w:r w:rsidR="00775472">
        <w:t xml:space="preserve">may </w:t>
      </w:r>
      <w:r>
        <w:t>require the allocation of an additional 2,500m</w:t>
      </w:r>
      <w:r>
        <w:rPr>
          <w:vertAlign w:val="superscript"/>
        </w:rPr>
        <w:t>2</w:t>
      </w:r>
      <w:r>
        <w:t xml:space="preserve"> for long day care services on site.</w:t>
      </w:r>
    </w:p>
    <w:p w14:paraId="5176E56B" w14:textId="77777777" w:rsidR="00866E8C" w:rsidRPr="0061215E" w:rsidRDefault="00866E8C" w:rsidP="00866E8C">
      <w:pPr>
        <w:pStyle w:val="Heading1"/>
      </w:pPr>
      <w:r w:rsidRPr="000C1432">
        <w:t>Timeframe for pr</w:t>
      </w:r>
      <w:r>
        <w:t>e-lodgement referral assessment</w:t>
      </w:r>
    </w:p>
    <w:p w14:paraId="594C1AFA" w14:textId="77777777" w:rsidR="00866E8C" w:rsidRDefault="00866E8C" w:rsidP="00866E8C">
      <w:pPr>
        <w:jc w:val="both"/>
      </w:pPr>
      <w:bookmarkStart w:id="0" w:name="_Hlk56414972"/>
      <w:r w:rsidRPr="00131A15">
        <w:t>The Department is cognisant of not unduly delaying proposals in the engagement phase</w:t>
      </w:r>
      <w:r>
        <w:t xml:space="preserve"> and will seek</w:t>
      </w:r>
      <w:r w:rsidRPr="00131A15">
        <w:t xml:space="preserve"> to ensure that responses to pre-lodgement consultation will occur in a reasonable timeframe. </w:t>
      </w:r>
      <w:r>
        <w:t>The assessment of complex proposals may take up to four weeks.</w:t>
      </w:r>
    </w:p>
    <w:p w14:paraId="57B3D23E" w14:textId="77777777" w:rsidR="00866E8C" w:rsidRDefault="00866E8C" w:rsidP="00866E8C">
      <w:pPr>
        <w:jc w:val="both"/>
      </w:pPr>
      <w:r>
        <w:t xml:space="preserve">Following the assessment, the Department will provide a formal letter to the proponent acknowledging that the proposal has been reviewed by the Department, including any matters and/or feedback which have been identified during the assessment.  </w:t>
      </w:r>
    </w:p>
    <w:bookmarkEnd w:id="0"/>
    <w:p w14:paraId="2895842B" w14:textId="77777777" w:rsidR="00CC15E9" w:rsidRPr="0061215E" w:rsidRDefault="00CC15E9" w:rsidP="00CC15E9">
      <w:pPr>
        <w:pStyle w:val="Heading1"/>
      </w:pPr>
      <w:r>
        <w:t>Further information</w:t>
      </w:r>
    </w:p>
    <w:p w14:paraId="0AFC31D4" w14:textId="77777777" w:rsidR="001E3848" w:rsidRDefault="00CC15E9" w:rsidP="00757FB7">
      <w:r>
        <w:t xml:space="preserve">For more information on the pre-lodgement structure plan referral process, please email your enquiries to </w:t>
      </w:r>
      <w:hyperlink r:id="rId11" w:history="1">
        <w:r w:rsidRPr="003524BC">
          <w:rPr>
            <w:rStyle w:val="Hyperlink"/>
          </w:rPr>
          <w:t>Landplanning@education.wa.edu.au</w:t>
        </w:r>
      </w:hyperlink>
      <w:r w:rsidR="00757FB7">
        <w:rPr>
          <w:rStyle w:val="Hyperlink"/>
        </w:rPr>
        <w:br/>
      </w:r>
    </w:p>
    <w:tbl>
      <w:tblPr>
        <w:tblStyle w:val="DOETable1Labradorite"/>
        <w:tblW w:w="9069" w:type="dxa"/>
        <w:tblLook w:val="06A0" w:firstRow="1" w:lastRow="0" w:firstColumn="1" w:lastColumn="0" w:noHBand="1" w:noVBand="1"/>
      </w:tblPr>
      <w:tblGrid>
        <w:gridCol w:w="9069"/>
      </w:tblGrid>
      <w:tr w:rsidR="00CC15E9" w14:paraId="71B7366B" w14:textId="77777777" w:rsidTr="0022144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9" w:type="dxa"/>
          </w:tcPr>
          <w:p w14:paraId="08103B14" w14:textId="77777777" w:rsidR="00CC15E9" w:rsidRPr="00CC15E9" w:rsidRDefault="00CC15E9" w:rsidP="00CA137D">
            <w:pPr>
              <w:rPr>
                <w:b w:val="0"/>
                <w:bCs w:val="0"/>
              </w:rPr>
            </w:pPr>
            <w:r>
              <w:t>Disclaimer</w:t>
            </w:r>
          </w:p>
        </w:tc>
      </w:tr>
      <w:tr w:rsidR="00CC15E9" w14:paraId="67038C04" w14:textId="77777777" w:rsidTr="001B6195">
        <w:trPr>
          <w:trHeight w:val="454"/>
        </w:trPr>
        <w:tc>
          <w:tcPr>
            <w:cnfStyle w:val="001000000000" w:firstRow="0" w:lastRow="0" w:firstColumn="1" w:lastColumn="0" w:oddVBand="0" w:evenVBand="0" w:oddHBand="0" w:evenHBand="0" w:firstRowFirstColumn="0" w:firstRowLastColumn="0" w:lastRowFirstColumn="0" w:lastRowLastColumn="0"/>
            <w:tcW w:w="9069" w:type="dxa"/>
          </w:tcPr>
          <w:p w14:paraId="1CAFA401" w14:textId="77777777" w:rsidR="00CC15E9" w:rsidRPr="00757FB7" w:rsidRDefault="00CC15E9" w:rsidP="00CC15E9">
            <w:pPr>
              <w:ind w:left="27"/>
              <w:jc w:val="both"/>
              <w:rPr>
                <w:b w:val="0"/>
                <w:sz w:val="18"/>
                <w:szCs w:val="18"/>
              </w:rPr>
            </w:pPr>
            <w:r w:rsidRPr="00757FB7">
              <w:rPr>
                <w:b w:val="0"/>
                <w:sz w:val="18"/>
                <w:szCs w:val="18"/>
              </w:rPr>
              <w:t>This Fact Sheet is prepared by the Department of Education to provide general guidance for developers, landowners and proponents on the pre-lodgement structure plan referral process based on the provisions of the Western Australian Planning Commission’s Operational Policy 2.4 – Planning for school sites (OP 2.4). Should there be any inconsistency between this Fact Sheet and the OP 2.4, the OP 2.4 shall prevail.</w:t>
            </w:r>
          </w:p>
          <w:p w14:paraId="19337B07" w14:textId="77777777" w:rsidR="00CC15E9" w:rsidRPr="00CC15E9" w:rsidRDefault="00CC15E9" w:rsidP="00CC15E9">
            <w:pPr>
              <w:ind w:left="27"/>
              <w:jc w:val="both"/>
              <w:rPr>
                <w:b w:val="0"/>
                <w:sz w:val="16"/>
                <w:szCs w:val="16"/>
              </w:rPr>
            </w:pPr>
            <w:r w:rsidRPr="00757FB7">
              <w:rPr>
                <w:b w:val="0"/>
                <w:sz w:val="18"/>
                <w:szCs w:val="18"/>
              </w:rPr>
              <w:t>Any representation, statement, opinion or advice expressed or implied in this publication is made in good faith and on the basis that the government, its employees and agents are not liable for any damage or loss whatsoever which may occur as a result of action taken or not taken, as the case may be, in respect of any representation, statement, opinion or advice referred to herein. Professional advice should be obtained before applying the information contained in this fact sheet to particular circumstances.</w:t>
            </w:r>
          </w:p>
        </w:tc>
      </w:tr>
    </w:tbl>
    <w:p w14:paraId="0E1F5271" w14:textId="77777777" w:rsidR="004B06B1" w:rsidRDefault="004B06B1" w:rsidP="00CC15E9">
      <w:pPr>
        <w:pStyle w:val="NumberedParagraph"/>
        <w:numPr>
          <w:ilvl w:val="0"/>
          <w:numId w:val="0"/>
        </w:numPr>
        <w:ind w:left="680" w:hanging="340"/>
      </w:pPr>
    </w:p>
    <w:sectPr w:rsidR="004B06B1" w:rsidSect="00CC15E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560" w:left="1418" w:header="709" w:footer="85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5">
      <wne:acd wne:acdName="acd5"/>
    </wne:keymap>
    <wne:keymap wne:kcmPrimary="026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LMA" wne:acdName="acd4" wne:fciIndexBasedOn="0065"/>
    <wne:acd wne:argValue="AgBOAHUAbQBiAGUAcgBlAGQAIABQAGEAcgBhAGcAcgBhAHAAaAA=" wne:acdName="acd5" wne:fciIndexBasedOn="0065"/>
    <wne:acd wne:argValue="AgBOAG8AdABlAHM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26A9" w14:textId="77777777" w:rsidR="00C52EC2" w:rsidRDefault="00C52EC2" w:rsidP="00127DAD">
      <w:r>
        <w:separator/>
      </w:r>
    </w:p>
  </w:endnote>
  <w:endnote w:type="continuationSeparator" w:id="0">
    <w:p w14:paraId="5B199ADD" w14:textId="77777777" w:rsidR="00C52EC2" w:rsidRDefault="00C52EC2"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535F" w14:textId="77777777" w:rsidR="001739FE" w:rsidRDefault="0017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4167" w14:textId="79D177BB" w:rsidR="000F6D5A" w:rsidRPr="000F6D5A" w:rsidRDefault="000F6D5A" w:rsidP="000F6D5A">
    <w:pPr>
      <w:pStyle w:val="Footer"/>
    </w:pPr>
    <w:r w:rsidRPr="000F6D5A">
      <w:tab/>
    </w:r>
    <w:r w:rsidRPr="000F6D5A">
      <w:tab/>
    </w:r>
    <w:r w:rsidR="00297C14" w:rsidRPr="000F6D5A">
      <w:tab/>
    </w:r>
    <w:r w:rsidR="00297C14" w:rsidRPr="000F6D5A">
      <w:fldChar w:fldCharType="begin"/>
    </w:r>
    <w:r w:rsidR="00297C14" w:rsidRPr="000F6D5A">
      <w:instrText xml:space="preserve"> PAGE   \* MERGEFORMAT </w:instrText>
    </w:r>
    <w:r w:rsidR="00297C14" w:rsidRPr="000F6D5A">
      <w:fldChar w:fldCharType="separate"/>
    </w:r>
    <w:r w:rsidR="004C266B">
      <w:rPr>
        <w:noProof/>
      </w:rPr>
      <w:t>2</w:t>
    </w:r>
    <w:r w:rsidR="00297C14" w:rsidRPr="000F6D5A">
      <w:fldChar w:fldCharType="end"/>
    </w:r>
    <w:r w:rsidR="00440775" w:rsidRPr="000F6D5A">
      <w:tab/>
    </w:r>
    <w:r w:rsidR="004B0DF2">
      <w:t>13/12/2022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38F0" w14:textId="77777777" w:rsidR="00440775" w:rsidRPr="001E1668" w:rsidRDefault="001E1668" w:rsidP="001E1668">
    <w:pPr>
      <w:pStyle w:val="Footer"/>
    </w:pPr>
    <w:r w:rsidRPr="001E1668">
      <w:tab/>
    </w:r>
    <w:r w:rsidRPr="001E1668">
      <w:tab/>
    </w:r>
  </w:p>
  <w:p w14:paraId="347C0B35" w14:textId="79B75DB0" w:rsidR="00AF71AF" w:rsidRPr="001E1668" w:rsidRDefault="00B95B5B" w:rsidP="001E1668">
    <w:pPr>
      <w:pStyle w:val="Footer"/>
    </w:pPr>
    <w:r>
      <w:tab/>
    </w:r>
    <w:r>
      <w:tab/>
    </w:r>
    <w:r w:rsidR="004B0DF2">
      <w:t>13/12/2022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585F" w14:textId="77777777" w:rsidR="00C52EC2" w:rsidRDefault="00C52EC2" w:rsidP="00127DAD">
      <w:r>
        <w:separator/>
      </w:r>
    </w:p>
  </w:footnote>
  <w:footnote w:type="continuationSeparator" w:id="0">
    <w:p w14:paraId="1FE093E8" w14:textId="77777777" w:rsidR="00C52EC2" w:rsidRDefault="00C52EC2"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47D6" w14:textId="77777777" w:rsidR="001739FE" w:rsidRDefault="0017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0493" w14:textId="16B8240B" w:rsidR="00633068" w:rsidRDefault="00633068">
    <w:pPr>
      <w:pStyle w:val="Header"/>
    </w:pPr>
    <w:r>
      <w:rPr>
        <w:noProof/>
        <w:lang w:eastAsia="en-AU"/>
      </w:rPr>
      <w:drawing>
        <wp:anchor distT="0" distB="0" distL="114300" distR="114300" simplePos="0" relativeHeight="251656704" behindDoc="1" locked="0" layoutInCell="1" allowOverlap="1" wp14:anchorId="60C7D009" wp14:editId="6C84C98D">
          <wp:simplePos x="0" y="0"/>
          <wp:positionH relativeFrom="page">
            <wp:align>left</wp:align>
          </wp:positionH>
          <wp:positionV relativeFrom="page">
            <wp:align>top</wp:align>
          </wp:positionV>
          <wp:extent cx="7559998" cy="10690691"/>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CC54" w14:textId="77777777" w:rsidR="0061215E" w:rsidRDefault="00A8272B">
    <w:pPr>
      <w:pStyle w:val="Header"/>
    </w:pPr>
    <w:r>
      <w:rPr>
        <w:noProof/>
        <w:lang w:eastAsia="en-AU"/>
      </w:rPr>
      <w:drawing>
        <wp:anchor distT="0" distB="0" distL="114300" distR="114300" simplePos="0" relativeHeight="251657728" behindDoc="1" locked="0" layoutInCell="1" allowOverlap="1" wp14:anchorId="3D350FB9" wp14:editId="37A8FC75">
          <wp:simplePos x="0" y="0"/>
          <wp:positionH relativeFrom="page">
            <wp:align>left</wp:align>
          </wp:positionH>
          <wp:positionV relativeFrom="page">
            <wp:align>top</wp:align>
          </wp:positionV>
          <wp:extent cx="7559998" cy="10690691"/>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4B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449C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FAB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A0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625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E6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0F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E66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66F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8DA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B722E"/>
    <w:multiLevelType w:val="hybridMultilevel"/>
    <w:tmpl w:val="4824ED5C"/>
    <w:lvl w:ilvl="0" w:tplc="F6129B58">
      <w:numFmt w:val="bullet"/>
      <w:lvlText w:val="❏"/>
      <w:lvlJc w:val="left"/>
      <w:pPr>
        <w:ind w:left="720" w:hanging="360"/>
      </w:pPr>
      <w:rPr>
        <w:rFonts w:ascii="MS UI Gothic" w:eastAsia="MS UI Gothic" w:hAnsi="MS UI Gothic" w:cs="MS UI Gothic" w:hint="default"/>
        <w:w w:val="100"/>
        <w:sz w:val="20"/>
        <w:szCs w:val="20"/>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BA4A49"/>
    <w:multiLevelType w:val="hybridMultilevel"/>
    <w:tmpl w:val="5A10AFEE"/>
    <w:lvl w:ilvl="0" w:tplc="BDE0F51A">
      <w:start w:val="1"/>
      <w:numFmt w:val="bullet"/>
      <w:lvlText w:val=""/>
      <w:lvlJc w:val="left"/>
      <w:pPr>
        <w:ind w:left="340" w:firstLine="0"/>
      </w:pPr>
      <w:rPr>
        <w:rFonts w:ascii="Symbol" w:hAnsi="Symbol" w:hint="default"/>
      </w:rPr>
    </w:lvl>
    <w:lvl w:ilvl="1" w:tplc="DF4AA33A">
      <w:start w:val="1"/>
      <w:numFmt w:val="bullet"/>
      <w:lvlText w:val="–"/>
      <w:lvlJc w:val="left"/>
      <w:pPr>
        <w:ind w:left="-20" w:firstLine="340"/>
      </w:pPr>
      <w:rPr>
        <w:rFonts w:ascii="Arial" w:hAnsi="Arial" w:hint="default"/>
      </w:rPr>
    </w:lvl>
    <w:lvl w:ilvl="2" w:tplc="081A4F60">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12" w15:restartNumberingAfterBreak="0">
    <w:nsid w:val="2A73453A"/>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13" w15:restartNumberingAfterBreak="0">
    <w:nsid w:val="2DBD78F7"/>
    <w:multiLevelType w:val="multilevel"/>
    <w:tmpl w:val="3F54E6F2"/>
    <w:lvl w:ilvl="0">
      <w:start w:val="1"/>
      <w:numFmt w:val="bullet"/>
      <w:pStyle w:val="ListParagraph"/>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Symbol" w:hAnsi="Symbol" w:hint="default"/>
      </w:rPr>
    </w:lvl>
    <w:lvl w:ilvl="2">
      <w:start w:val="1"/>
      <w:numFmt w:val="bullet"/>
      <w:lvlText w:val=""/>
      <w:lvlJc w:val="left"/>
      <w:pPr>
        <w:ind w:left="1361" w:hanging="340"/>
      </w:pPr>
      <w:rPr>
        <w:rFonts w:ascii="Symbol" w:hAnsi="Symbol" w:hint="default"/>
      </w:rPr>
    </w:lvl>
    <w:lvl w:ilvl="3">
      <w:start w:val="1"/>
      <w:numFmt w:val="bullet"/>
      <w:lvlText w:val=""/>
      <w:lvlJc w:val="left"/>
      <w:pPr>
        <w:ind w:left="1701" w:hanging="340"/>
      </w:pPr>
      <w:rPr>
        <w:rFonts w:ascii="Symbol" w:hAnsi="Symbol" w:hint="default"/>
      </w:rPr>
    </w:lvl>
    <w:lvl w:ilvl="4">
      <w:start w:val="1"/>
      <w:numFmt w:val="bullet"/>
      <w:lvlText w:val=""/>
      <w:lvlJc w:val="left"/>
      <w:pPr>
        <w:ind w:left="2041" w:hanging="340"/>
      </w:pPr>
      <w:rPr>
        <w:rFonts w:ascii="Symbol" w:hAnsi="Symbol" w:hint="default"/>
      </w:rPr>
    </w:lvl>
    <w:lvl w:ilvl="5">
      <w:start w:val="1"/>
      <w:numFmt w:val="bullet"/>
      <w:lvlText w:val=""/>
      <w:lvlJc w:val="left"/>
      <w:pPr>
        <w:ind w:left="2381" w:hanging="340"/>
      </w:pPr>
      <w:rPr>
        <w:rFonts w:ascii="Symbol" w:hAnsi="Symbol" w:hint="default"/>
      </w:rPr>
    </w:lvl>
    <w:lvl w:ilvl="6">
      <w:start w:val="1"/>
      <w:numFmt w:val="bullet"/>
      <w:lvlText w:val=""/>
      <w:lvlJc w:val="left"/>
      <w:pPr>
        <w:ind w:left="2722" w:hanging="341"/>
      </w:pPr>
      <w:rPr>
        <w:rFonts w:ascii="Symbol" w:hAnsi="Symbol" w:hint="default"/>
      </w:rPr>
    </w:lvl>
    <w:lvl w:ilvl="7">
      <w:start w:val="1"/>
      <w:numFmt w:val="bullet"/>
      <w:lvlText w:val=""/>
      <w:lvlJc w:val="left"/>
      <w:pPr>
        <w:ind w:left="3062" w:hanging="340"/>
      </w:pPr>
      <w:rPr>
        <w:rFonts w:ascii="Symbol" w:hAnsi="Symbol" w:hint="default"/>
      </w:rPr>
    </w:lvl>
    <w:lvl w:ilvl="8">
      <w:start w:val="1"/>
      <w:numFmt w:val="bullet"/>
      <w:lvlText w:val=""/>
      <w:lvlJc w:val="left"/>
      <w:pPr>
        <w:ind w:left="3742" w:hanging="340"/>
      </w:pPr>
      <w:rPr>
        <w:rFonts w:ascii="Symbol" w:hAnsi="Symbol" w:hint="default"/>
      </w:rPr>
    </w:lvl>
  </w:abstractNum>
  <w:abstractNum w:abstractNumId="14" w15:restartNumberingAfterBreak="0">
    <w:nsid w:val="2EDD1F8E"/>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15" w15:restartNumberingAfterBreak="0">
    <w:nsid w:val="2FF3396D"/>
    <w:multiLevelType w:val="multilevel"/>
    <w:tmpl w:val="50C0244A"/>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16" w15:restartNumberingAfterBreak="0">
    <w:nsid w:val="39F64A3F"/>
    <w:multiLevelType w:val="hybridMultilevel"/>
    <w:tmpl w:val="CD0CFA68"/>
    <w:lvl w:ilvl="0" w:tplc="0C090001">
      <w:start w:val="1"/>
      <w:numFmt w:val="bullet"/>
      <w:lvlText w:val=""/>
      <w:lvlJc w:val="left"/>
      <w:pPr>
        <w:ind w:left="700" w:hanging="360"/>
      </w:pPr>
      <w:rPr>
        <w:rFonts w:ascii="Symbol" w:hAnsi="Symbol" w:hint="default"/>
      </w:rPr>
    </w:lvl>
    <w:lvl w:ilvl="1" w:tplc="33B4FAE6">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41226970"/>
    <w:multiLevelType w:val="hybridMultilevel"/>
    <w:tmpl w:val="91BEB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566DE3"/>
    <w:multiLevelType w:val="multilevel"/>
    <w:tmpl w:val="E1E6B2C4"/>
    <w:lvl w:ilvl="0">
      <w:start w:val="1"/>
      <w:numFmt w:val="decimal"/>
      <w:pStyle w:val="NumberedParagraph"/>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5D732B"/>
    <w:multiLevelType w:val="hybridMultilevel"/>
    <w:tmpl w:val="F1FABC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54478D"/>
    <w:multiLevelType w:val="multilevel"/>
    <w:tmpl w:val="BF9441C6"/>
    <w:lvl w:ilvl="0">
      <w:start w:val="1"/>
      <w:numFmt w:val="bullet"/>
      <w:lvlText w:val=""/>
      <w:lvlJc w:val="left"/>
      <w:pPr>
        <w:ind w:left="0" w:firstLine="0"/>
      </w:pPr>
      <w:rPr>
        <w:rFonts w:ascii="Symbol" w:hAnsi="Symbol" w:hint="default"/>
      </w:rPr>
    </w:lvl>
    <w:lvl w:ilvl="1">
      <w:start w:val="1"/>
      <w:numFmt w:val="bullet"/>
      <w:lvlText w:val="–"/>
      <w:lvlJc w:val="left"/>
      <w:pPr>
        <w:ind w:left="-20" w:firstLine="340"/>
      </w:pPr>
      <w:rPr>
        <w:rFonts w:ascii="Arial" w:hAnsi="Arial"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1" w15:restartNumberingAfterBreak="0">
    <w:nsid w:val="63074DE7"/>
    <w:multiLevelType w:val="multilevel"/>
    <w:tmpl w:val="2690D32E"/>
    <w:lvl w:ilvl="0">
      <w:start w:val="1"/>
      <w:numFmt w:val="decimal"/>
      <w:isLg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22" w15:restartNumberingAfterBreak="0">
    <w:nsid w:val="675D39BF"/>
    <w:multiLevelType w:val="hybridMultilevel"/>
    <w:tmpl w:val="530C4F78"/>
    <w:lvl w:ilvl="0" w:tplc="02CE1A7C">
      <w:start w:val="1"/>
      <w:numFmt w:val="decimal"/>
      <w:lvlText w:val="%1."/>
      <w:lvlJc w:val="left"/>
      <w:pPr>
        <w:ind w:left="340" w:firstLine="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15:restartNumberingAfterBreak="0">
    <w:nsid w:val="693B5D2C"/>
    <w:multiLevelType w:val="hybridMultilevel"/>
    <w:tmpl w:val="71A2D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816005">
    <w:abstractNumId w:val="11"/>
  </w:num>
  <w:num w:numId="2" w16cid:durableId="1515534926">
    <w:abstractNumId w:val="16"/>
  </w:num>
  <w:num w:numId="3" w16cid:durableId="743916452">
    <w:abstractNumId w:val="22"/>
  </w:num>
  <w:num w:numId="4" w16cid:durableId="1435784516">
    <w:abstractNumId w:val="11"/>
    <w:lvlOverride w:ilvl="0">
      <w:startOverride w:val="1"/>
    </w:lvlOverride>
  </w:num>
  <w:num w:numId="5" w16cid:durableId="1335183227">
    <w:abstractNumId w:val="20"/>
  </w:num>
  <w:num w:numId="6" w16cid:durableId="1774472215">
    <w:abstractNumId w:val="14"/>
  </w:num>
  <w:num w:numId="7" w16cid:durableId="1518036696">
    <w:abstractNumId w:val="12"/>
  </w:num>
  <w:num w:numId="8" w16cid:durableId="996109603">
    <w:abstractNumId w:val="15"/>
  </w:num>
  <w:num w:numId="9" w16cid:durableId="1188831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1993985">
    <w:abstractNumId w:val="18"/>
  </w:num>
  <w:num w:numId="11" w16cid:durableId="2014411580">
    <w:abstractNumId w:val="13"/>
  </w:num>
  <w:num w:numId="12" w16cid:durableId="773862127">
    <w:abstractNumId w:val="21"/>
  </w:num>
  <w:num w:numId="13" w16cid:durableId="1659380528">
    <w:abstractNumId w:val="9"/>
  </w:num>
  <w:num w:numId="14" w16cid:durableId="833572176">
    <w:abstractNumId w:val="7"/>
  </w:num>
  <w:num w:numId="15" w16cid:durableId="507062533">
    <w:abstractNumId w:val="6"/>
  </w:num>
  <w:num w:numId="16" w16cid:durableId="1263103493">
    <w:abstractNumId w:val="5"/>
  </w:num>
  <w:num w:numId="17" w16cid:durableId="438986611">
    <w:abstractNumId w:val="4"/>
  </w:num>
  <w:num w:numId="18" w16cid:durableId="1158109239">
    <w:abstractNumId w:val="8"/>
  </w:num>
  <w:num w:numId="19" w16cid:durableId="1946494071">
    <w:abstractNumId w:val="3"/>
  </w:num>
  <w:num w:numId="20" w16cid:durableId="881359961">
    <w:abstractNumId w:val="2"/>
  </w:num>
  <w:num w:numId="21" w16cid:durableId="1170681394">
    <w:abstractNumId w:val="1"/>
  </w:num>
  <w:num w:numId="22" w16cid:durableId="187793399">
    <w:abstractNumId w:val="0"/>
  </w:num>
  <w:num w:numId="23" w16cid:durableId="1540782347">
    <w:abstractNumId w:val="10"/>
  </w:num>
  <w:num w:numId="24" w16cid:durableId="840239795">
    <w:abstractNumId w:val="23"/>
  </w:num>
  <w:num w:numId="25" w16cid:durableId="1366902417">
    <w:abstractNumId w:val="19"/>
  </w:num>
  <w:num w:numId="26" w16cid:durableId="1136145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LockTheme/>
  <w:defaultTabStop w:val="720"/>
  <w:defaultTableStyle w:val="DOETable1Labradorit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tDA3MrU0sTA0MjRQ0lEKTi0uzszPAykwrgUAFCQKPywAAAA="/>
  </w:docVars>
  <w:rsids>
    <w:rsidRoot w:val="00D21BAC"/>
    <w:rsid w:val="000164D9"/>
    <w:rsid w:val="00027DA4"/>
    <w:rsid w:val="00042E65"/>
    <w:rsid w:val="00043691"/>
    <w:rsid w:val="00043E92"/>
    <w:rsid w:val="00052680"/>
    <w:rsid w:val="0007329C"/>
    <w:rsid w:val="00073C07"/>
    <w:rsid w:val="000B6A3E"/>
    <w:rsid w:val="000C19FD"/>
    <w:rsid w:val="000E61C9"/>
    <w:rsid w:val="000F6D5A"/>
    <w:rsid w:val="00114A98"/>
    <w:rsid w:val="00114D7C"/>
    <w:rsid w:val="00117BC1"/>
    <w:rsid w:val="00127DAD"/>
    <w:rsid w:val="0013587A"/>
    <w:rsid w:val="00137D84"/>
    <w:rsid w:val="001525FB"/>
    <w:rsid w:val="001739FE"/>
    <w:rsid w:val="0017483D"/>
    <w:rsid w:val="00177D2D"/>
    <w:rsid w:val="0019358B"/>
    <w:rsid w:val="001B3791"/>
    <w:rsid w:val="001B5001"/>
    <w:rsid w:val="001E1668"/>
    <w:rsid w:val="001E3848"/>
    <w:rsid w:val="00237DA1"/>
    <w:rsid w:val="002464F0"/>
    <w:rsid w:val="00250BF2"/>
    <w:rsid w:val="00263F9A"/>
    <w:rsid w:val="002715EE"/>
    <w:rsid w:val="00285E42"/>
    <w:rsid w:val="002964D2"/>
    <w:rsid w:val="00297C14"/>
    <w:rsid w:val="002C558C"/>
    <w:rsid w:val="002D00AA"/>
    <w:rsid w:val="002F01CD"/>
    <w:rsid w:val="00301843"/>
    <w:rsid w:val="003152E0"/>
    <w:rsid w:val="00316604"/>
    <w:rsid w:val="0031727B"/>
    <w:rsid w:val="003403BB"/>
    <w:rsid w:val="00357EF6"/>
    <w:rsid w:val="00363D1B"/>
    <w:rsid w:val="00365B17"/>
    <w:rsid w:val="00390D50"/>
    <w:rsid w:val="00397F0C"/>
    <w:rsid w:val="003B56AB"/>
    <w:rsid w:val="003C7ADD"/>
    <w:rsid w:val="003D7A55"/>
    <w:rsid w:val="003E3259"/>
    <w:rsid w:val="004103B9"/>
    <w:rsid w:val="00414D84"/>
    <w:rsid w:val="00440775"/>
    <w:rsid w:val="0044231C"/>
    <w:rsid w:val="004661A2"/>
    <w:rsid w:val="00466E52"/>
    <w:rsid w:val="00487149"/>
    <w:rsid w:val="00494F03"/>
    <w:rsid w:val="004B06B1"/>
    <w:rsid w:val="004B0DF2"/>
    <w:rsid w:val="004C266B"/>
    <w:rsid w:val="004D0B2E"/>
    <w:rsid w:val="00505B86"/>
    <w:rsid w:val="0053387D"/>
    <w:rsid w:val="005728CD"/>
    <w:rsid w:val="005A1925"/>
    <w:rsid w:val="005B118D"/>
    <w:rsid w:val="005E1703"/>
    <w:rsid w:val="005E7F4A"/>
    <w:rsid w:val="005F7C08"/>
    <w:rsid w:val="00600040"/>
    <w:rsid w:val="0060579B"/>
    <w:rsid w:val="006110E7"/>
    <w:rsid w:val="0061215E"/>
    <w:rsid w:val="00620FC1"/>
    <w:rsid w:val="00624C3B"/>
    <w:rsid w:val="00633068"/>
    <w:rsid w:val="0066616A"/>
    <w:rsid w:val="00690A31"/>
    <w:rsid w:val="006936A9"/>
    <w:rsid w:val="00694179"/>
    <w:rsid w:val="00694952"/>
    <w:rsid w:val="006A1BE6"/>
    <w:rsid w:val="006B214C"/>
    <w:rsid w:val="006D0BC0"/>
    <w:rsid w:val="006E44D7"/>
    <w:rsid w:val="006E4D86"/>
    <w:rsid w:val="00707C9E"/>
    <w:rsid w:val="00722E03"/>
    <w:rsid w:val="007327C5"/>
    <w:rsid w:val="00733411"/>
    <w:rsid w:val="007343DF"/>
    <w:rsid w:val="00757FB7"/>
    <w:rsid w:val="007657C5"/>
    <w:rsid w:val="00775472"/>
    <w:rsid w:val="00786BF1"/>
    <w:rsid w:val="007875ED"/>
    <w:rsid w:val="007A70FC"/>
    <w:rsid w:val="007E4297"/>
    <w:rsid w:val="007F30C7"/>
    <w:rsid w:val="008250E2"/>
    <w:rsid w:val="00840EFA"/>
    <w:rsid w:val="00854803"/>
    <w:rsid w:val="0086191A"/>
    <w:rsid w:val="00866E8C"/>
    <w:rsid w:val="0088584D"/>
    <w:rsid w:val="00886E6E"/>
    <w:rsid w:val="008A1F74"/>
    <w:rsid w:val="008A7361"/>
    <w:rsid w:val="008B02EB"/>
    <w:rsid w:val="00916AF7"/>
    <w:rsid w:val="0095620D"/>
    <w:rsid w:val="00967403"/>
    <w:rsid w:val="00976958"/>
    <w:rsid w:val="00992BCE"/>
    <w:rsid w:val="009C75FC"/>
    <w:rsid w:val="009E08CC"/>
    <w:rsid w:val="00A15453"/>
    <w:rsid w:val="00A26AEF"/>
    <w:rsid w:val="00A31658"/>
    <w:rsid w:val="00A31ADB"/>
    <w:rsid w:val="00A35095"/>
    <w:rsid w:val="00A43B6C"/>
    <w:rsid w:val="00A525E0"/>
    <w:rsid w:val="00A77CBE"/>
    <w:rsid w:val="00A8272B"/>
    <w:rsid w:val="00AC641B"/>
    <w:rsid w:val="00AF71AF"/>
    <w:rsid w:val="00B13C58"/>
    <w:rsid w:val="00B54143"/>
    <w:rsid w:val="00B544BA"/>
    <w:rsid w:val="00B6170F"/>
    <w:rsid w:val="00B77163"/>
    <w:rsid w:val="00B95B5B"/>
    <w:rsid w:val="00BA6DE9"/>
    <w:rsid w:val="00BC3C66"/>
    <w:rsid w:val="00C35BA3"/>
    <w:rsid w:val="00C51A53"/>
    <w:rsid w:val="00C52EC2"/>
    <w:rsid w:val="00C90815"/>
    <w:rsid w:val="00C96238"/>
    <w:rsid w:val="00CA0BE1"/>
    <w:rsid w:val="00CC15E9"/>
    <w:rsid w:val="00CE19F1"/>
    <w:rsid w:val="00D21BAC"/>
    <w:rsid w:val="00D60B2F"/>
    <w:rsid w:val="00D87CFD"/>
    <w:rsid w:val="00D93979"/>
    <w:rsid w:val="00D94535"/>
    <w:rsid w:val="00DC7325"/>
    <w:rsid w:val="00DE3892"/>
    <w:rsid w:val="00E3357D"/>
    <w:rsid w:val="00E420D5"/>
    <w:rsid w:val="00E7327F"/>
    <w:rsid w:val="00E9357B"/>
    <w:rsid w:val="00EB5069"/>
    <w:rsid w:val="00ED31F3"/>
    <w:rsid w:val="00EF20B0"/>
    <w:rsid w:val="00F0060B"/>
    <w:rsid w:val="00F06E0C"/>
    <w:rsid w:val="00F15DE1"/>
    <w:rsid w:val="00F20B53"/>
    <w:rsid w:val="00F26855"/>
    <w:rsid w:val="00F3070F"/>
    <w:rsid w:val="00F4033E"/>
    <w:rsid w:val="00F72EDB"/>
    <w:rsid w:val="00F8161E"/>
    <w:rsid w:val="00FA03FB"/>
    <w:rsid w:val="00FA1899"/>
    <w:rsid w:val="00FA7FEC"/>
    <w:rsid w:val="00FB6D45"/>
    <w:rsid w:val="00FC4262"/>
    <w:rsid w:val="00FC6FAE"/>
    <w:rsid w:val="00FD1859"/>
    <w:rsid w:val="00FE6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0364A"/>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2964D2"/>
    <w:pPr>
      <w:spacing w:before="120" w:after="120" w:line="260" w:lineRule="exact"/>
    </w:pPr>
    <w:rPr>
      <w:rFonts w:ascii="Arial" w:hAnsi="Arial" w:cs="Arial"/>
      <w:sz w:val="20"/>
      <w:szCs w:val="20"/>
    </w:rPr>
  </w:style>
  <w:style w:type="paragraph" w:styleId="Heading1">
    <w:name w:val="heading 1"/>
    <w:basedOn w:val="Normal"/>
    <w:next w:val="Normal"/>
    <w:link w:val="Heading1Char"/>
    <w:uiPriority w:val="2"/>
    <w:qFormat/>
    <w:rsid w:val="00D60B2F"/>
    <w:pPr>
      <w:spacing w:before="360" w:after="160" w:line="300" w:lineRule="exact"/>
      <w:outlineLvl w:val="0"/>
    </w:pPr>
    <w:rPr>
      <w:b/>
      <w:color w:val="0085AC"/>
      <w:sz w:val="24"/>
      <w:szCs w:val="24"/>
    </w:rPr>
  </w:style>
  <w:style w:type="paragraph" w:styleId="Heading2">
    <w:name w:val="heading 2"/>
    <w:basedOn w:val="Normal"/>
    <w:next w:val="Normal"/>
    <w:link w:val="Heading2Char"/>
    <w:uiPriority w:val="3"/>
    <w:qFormat/>
    <w:rsid w:val="00D60B2F"/>
    <w:pPr>
      <w:spacing w:before="240"/>
      <w:outlineLvl w:val="1"/>
    </w:pPr>
    <w:rPr>
      <w:b/>
      <w:color w:val="0085AC"/>
      <w:sz w:val="22"/>
    </w:rPr>
  </w:style>
  <w:style w:type="paragraph" w:styleId="Heading3">
    <w:name w:val="heading 3"/>
    <w:basedOn w:val="Normal"/>
    <w:next w:val="Normal"/>
    <w:link w:val="Heading3Char"/>
    <w:uiPriority w:val="4"/>
    <w:qFormat/>
    <w:rsid w:val="003B56A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61215E"/>
    <w:pPr>
      <w:pBdr>
        <w:bottom w:val="single" w:sz="8" w:space="23" w:color="0085AC"/>
      </w:pBdr>
      <w:tabs>
        <w:tab w:val="left" w:pos="1276"/>
      </w:tabs>
      <w:spacing w:before="960" w:after="500" w:line="240" w:lineRule="auto"/>
      <w:contextualSpacing/>
    </w:pPr>
    <w:rPr>
      <w:rFonts w:eastAsiaTheme="majorEastAsia"/>
      <w:b/>
      <w:color w:val="0085AC"/>
      <w:spacing w:val="4"/>
      <w:kern w:val="28"/>
      <w:sz w:val="56"/>
      <w:szCs w:val="56"/>
    </w:rPr>
  </w:style>
  <w:style w:type="character" w:customStyle="1" w:styleId="TitleChar">
    <w:name w:val="Title Char"/>
    <w:aliases w:val="Document Title Char"/>
    <w:basedOn w:val="DefaultParagraphFont"/>
    <w:link w:val="Title"/>
    <w:rsid w:val="0061215E"/>
    <w:rPr>
      <w:rFonts w:ascii="Arial" w:eastAsiaTheme="majorEastAsia" w:hAnsi="Arial" w:cs="Arial"/>
      <w:b/>
      <w:color w:val="0085AC"/>
      <w:spacing w:val="4"/>
      <w:kern w:val="28"/>
      <w:sz w:val="56"/>
      <w:szCs w:val="56"/>
    </w:rPr>
  </w:style>
  <w:style w:type="character" w:customStyle="1" w:styleId="Heading1Char">
    <w:name w:val="Heading 1 Char"/>
    <w:basedOn w:val="DefaultParagraphFont"/>
    <w:link w:val="Heading1"/>
    <w:uiPriority w:val="2"/>
    <w:rsid w:val="00D60B2F"/>
    <w:rPr>
      <w:rFonts w:ascii="Arial" w:hAnsi="Arial" w:cs="Arial"/>
      <w:b/>
      <w:color w:val="0085AC"/>
      <w:sz w:val="24"/>
      <w:szCs w:val="24"/>
    </w:rPr>
  </w:style>
  <w:style w:type="character" w:customStyle="1" w:styleId="Heading2Char">
    <w:name w:val="Heading 2 Char"/>
    <w:basedOn w:val="DefaultParagraphFont"/>
    <w:link w:val="Heading2"/>
    <w:uiPriority w:val="3"/>
    <w:rsid w:val="00D60B2F"/>
    <w:rPr>
      <w:rFonts w:ascii="Arial" w:hAnsi="Arial" w:cs="Arial"/>
      <w:b/>
      <w:color w:val="0085AC"/>
      <w:szCs w:val="20"/>
    </w:rPr>
  </w:style>
  <w:style w:type="paragraph" w:styleId="ListParagraph">
    <w:name w:val="List Paragraph"/>
    <w:basedOn w:val="Normal"/>
    <w:link w:val="ListParagraphChar"/>
    <w:autoRedefine/>
    <w:uiPriority w:val="34"/>
    <w:qFormat/>
    <w:rsid w:val="00786BF1"/>
    <w:pPr>
      <w:numPr>
        <w:numId w:val="11"/>
      </w:numPr>
      <w:tabs>
        <w:tab w:val="left" w:pos="1021"/>
        <w:tab w:val="left" w:pos="1361"/>
        <w:tab w:val="left" w:pos="1701"/>
        <w:tab w:val="left" w:pos="2041"/>
        <w:tab w:val="left" w:pos="2381"/>
        <w:tab w:val="left" w:pos="2722"/>
        <w:tab w:val="left" w:pos="3062"/>
        <w:tab w:val="left" w:pos="3402"/>
      </w:tabs>
      <w:spacing w:before="60" w:after="6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916AF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16AF7"/>
    <w:rPr>
      <w:rFonts w:ascii="Arial" w:hAnsi="Arial" w:cs="Arial"/>
      <w:sz w:val="20"/>
      <w:szCs w:val="20"/>
    </w:rPr>
  </w:style>
  <w:style w:type="paragraph" w:styleId="Footer">
    <w:name w:val="footer"/>
    <w:basedOn w:val="Normal"/>
    <w:link w:val="FooterChar"/>
    <w:uiPriority w:val="99"/>
    <w:unhideWhenUsed/>
    <w:rsid w:val="00440775"/>
    <w:pPr>
      <w:tabs>
        <w:tab w:val="center" w:pos="4513"/>
        <w:tab w:val="right" w:pos="8505"/>
      </w:tabs>
      <w:spacing w:before="0" w:after="0" w:line="240" w:lineRule="auto"/>
    </w:pPr>
    <w:rPr>
      <w:color w:val="A7A7A7"/>
      <w:sz w:val="16"/>
      <w:szCs w:val="16"/>
    </w:rPr>
  </w:style>
  <w:style w:type="character" w:customStyle="1" w:styleId="FooterChar">
    <w:name w:val="Footer Char"/>
    <w:basedOn w:val="DefaultParagraphFont"/>
    <w:link w:val="Footer"/>
    <w:uiPriority w:val="99"/>
    <w:rsid w:val="00440775"/>
    <w:rPr>
      <w:rFonts w:ascii="Arial" w:hAnsi="Arial" w:cs="Arial"/>
      <w:color w:val="A7A7A7"/>
      <w:sz w:val="16"/>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paragraph" w:customStyle="1" w:styleId="NumberedParagraph">
    <w:name w:val="Numbered Paragraph"/>
    <w:basedOn w:val="ListParagraph"/>
    <w:link w:val="NumberedParagraphChar"/>
    <w:uiPriority w:val="6"/>
    <w:qFormat/>
    <w:rsid w:val="0066616A"/>
    <w:pPr>
      <w:numPr>
        <w:numId w:val="10"/>
      </w:numPr>
      <w:tabs>
        <w:tab w:val="clear" w:pos="1021"/>
        <w:tab w:val="clear" w:pos="1361"/>
        <w:tab w:val="clear" w:pos="1701"/>
        <w:tab w:val="clear" w:pos="2041"/>
        <w:tab w:val="clear" w:pos="2381"/>
        <w:tab w:val="clear" w:pos="3062"/>
        <w:tab w:val="clear" w:pos="3402"/>
        <w:tab w:val="left" w:pos="680"/>
        <w:tab w:val="left" w:pos="1191"/>
        <w:tab w:val="left" w:pos="1871"/>
        <w:tab w:val="left" w:pos="3175"/>
        <w:tab w:val="left" w:pos="4366"/>
      </w:tabs>
    </w:pPr>
  </w:style>
  <w:style w:type="character" w:customStyle="1" w:styleId="Heading3Char">
    <w:name w:val="Heading 3 Char"/>
    <w:basedOn w:val="DefaultParagraphFont"/>
    <w:link w:val="Heading3"/>
    <w:uiPriority w:val="4"/>
    <w:rsid w:val="007657C5"/>
    <w:rPr>
      <w:rFonts w:ascii="Arial" w:hAnsi="Arial" w:cs="Arial"/>
      <w:b/>
      <w:sz w:val="20"/>
      <w:szCs w:val="20"/>
    </w:rPr>
  </w:style>
  <w:style w:type="character" w:customStyle="1" w:styleId="ListParagraphChar">
    <w:name w:val="List Paragraph Char"/>
    <w:basedOn w:val="DefaultParagraphFont"/>
    <w:link w:val="ListParagraph"/>
    <w:uiPriority w:val="6"/>
    <w:rsid w:val="007657C5"/>
    <w:rPr>
      <w:rFonts w:ascii="Arial" w:hAnsi="Arial" w:cs="Arial"/>
      <w:sz w:val="20"/>
      <w:szCs w:val="20"/>
    </w:rPr>
  </w:style>
  <w:style w:type="character" w:customStyle="1" w:styleId="NumberedParagraphChar">
    <w:name w:val="Numbered Paragraph Char"/>
    <w:basedOn w:val="ListParagraphChar"/>
    <w:link w:val="NumberedParagraph"/>
    <w:uiPriority w:val="6"/>
    <w:rsid w:val="007657C5"/>
    <w:rPr>
      <w:rFonts w:ascii="Arial" w:hAnsi="Arial" w:cs="Arial"/>
      <w:sz w:val="20"/>
      <w:szCs w:val="20"/>
    </w:r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A70FC"/>
    <w:pPr>
      <w:spacing w:after="0" w:line="240" w:lineRule="auto"/>
    </w:pPr>
    <w:tblPr>
      <w:tblStyleRowBandSize w:val="1"/>
      <w:tblStyleColBandSize w:val="1"/>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Pr>
    <w:tcPr>
      <w:shd w:val="clear" w:color="auto" w:fill="auto"/>
    </w:tcPr>
    <w:tblStylePr w:type="firstRow">
      <w:rPr>
        <w:b/>
        <w:bCs/>
        <w:color w:val="FFFFFF" w:themeColor="background1"/>
      </w:rPr>
      <w:tblPr/>
      <w:tcPr>
        <w:shd w:val="clear" w:color="auto" w:fill="0085AC"/>
      </w:tcPr>
    </w:tblStylePr>
    <w:tblStylePr w:type="lastRow">
      <w:rPr>
        <w:b/>
        <w:bCs/>
      </w:rPr>
      <w:tblPr/>
      <w:tcPr>
        <w:tcBorders>
          <w:top w:val="double" w:sz="4" w:space="0" w:color="0085AC"/>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297C14"/>
    <w:rPr>
      <w:sz w:val="16"/>
    </w:rPr>
  </w:style>
  <w:style w:type="character" w:styleId="Hyperlink">
    <w:name w:val="Hyperlink"/>
    <w:basedOn w:val="DefaultParagraphFont"/>
    <w:uiPriority w:val="6"/>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61215E"/>
    <w:rPr>
      <w:rFonts w:ascii="Arial" w:eastAsiaTheme="majorEastAsia" w:hAnsi="Arial" w:cs="Arial"/>
      <w:b w:val="0"/>
      <w:color w:val="0085AC"/>
      <w:spacing w:val="4"/>
      <w:kern w:val="28"/>
      <w:sz w:val="40"/>
      <w:szCs w:val="56"/>
    </w:rPr>
  </w:style>
  <w:style w:type="character" w:styleId="PlaceholderText">
    <w:name w:val="Placeholder Text"/>
    <w:basedOn w:val="DefaultParagraphFont"/>
    <w:uiPriority w:val="99"/>
    <w:semiHidden/>
    <w:rsid w:val="001E1668"/>
    <w:rPr>
      <w:color w:val="808080"/>
    </w:rPr>
  </w:style>
  <w:style w:type="table" w:customStyle="1" w:styleId="DOETable1Labradorite">
    <w:name w:val="DOE Table 1 (Labradorite)"/>
    <w:basedOn w:val="ListTable4-Accent6"/>
    <w:uiPriority w:val="99"/>
    <w:rsid w:val="00624C3B"/>
    <w:rPr>
      <w:rFonts w:ascii="Arial" w:hAnsi="Arial"/>
      <w:sz w:val="20"/>
      <w:szCs w:val="20"/>
      <w:lang w:eastAsia="en-AU"/>
    </w:rPr>
    <w:tblPr/>
    <w:tcPr>
      <w:shd w:val="clear" w:color="auto" w:fill="auto"/>
    </w:tcPr>
    <w:tblStylePr w:type="firstRow">
      <w:rPr>
        <w:b/>
        <w:bCs/>
        <w:color w:val="FFFFFF" w:themeColor="background1"/>
      </w:rPr>
      <w:tblPr/>
      <w:tcPr>
        <w:tcBorders>
          <w:top w:val="single" w:sz="4" w:space="0" w:color="0085AC"/>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1EA"/>
      </w:tcPr>
    </w:tblStylePr>
    <w:tblStylePr w:type="band2Horz">
      <w:tblPr/>
      <w:tcPr>
        <w:shd w:val="clear" w:color="auto" w:fill="BFE1EA"/>
      </w:tcPr>
    </w:tblStylePr>
  </w:style>
  <w:style w:type="table" w:customStyle="1" w:styleId="DOETable2Labradorite">
    <w:name w:val="DOE Table 2 (Labradorite)"/>
    <w:basedOn w:val="DOETable1Labradorite"/>
    <w:uiPriority w:val="99"/>
    <w:rsid w:val="00624C3B"/>
    <w:rPr>
      <w:color w:val="000000" w:themeColor="text1"/>
    </w:rPr>
    <w:tblPr/>
    <w:tcPr>
      <w:shd w:val="clear" w:color="auto" w:fill="auto"/>
    </w:tcPr>
    <w:tblStylePr w:type="firstRow">
      <w:rPr>
        <w:b/>
        <w:bCs/>
        <w:color w:val="FFFFFF" w:themeColor="background1"/>
      </w:rPr>
      <w:tblPr/>
      <w:tcPr>
        <w:tcBorders>
          <w:top w:val="single" w:sz="4" w:space="0" w:color="0085AC"/>
          <w:left w:val="single" w:sz="4" w:space="0" w:color="0085AC"/>
          <w:bottom w:val="single" w:sz="4" w:space="0" w:color="FFFFFF" w:themeColor="background1"/>
          <w:right w:val="single" w:sz="4" w:space="0" w:color="0085AC"/>
          <w:insideH w:val="nil"/>
          <w:insideV w:val="single" w:sz="4" w:space="0" w:color="FFFFFF" w:themeColor="background1"/>
          <w:tl2br w:val="nil"/>
          <w:tr2bl w:val="nil"/>
        </w:tcBorders>
        <w:shd w:val="clear" w:color="auto" w:fill="0085AC"/>
      </w:tcPr>
    </w:tblStylePr>
    <w:tblStylePr w:type="lastRow">
      <w:rPr>
        <w:b/>
        <w:bCs/>
        <w:color w:val="FFFFFF" w:themeColor="background1"/>
      </w:rPr>
      <w:tblPr/>
      <w:tcPr>
        <w:tcBorders>
          <w:top w:val="double" w:sz="4" w:space="0" w:color="FFFFFF" w:themeColor="background1"/>
          <w:bottom w:val="single" w:sz="4" w:space="0" w:color="0085AC"/>
          <w:insideV w:val="single" w:sz="4" w:space="0" w:color="FFFFFF" w:themeColor="background1"/>
        </w:tcBorders>
        <w:shd w:val="clear" w:color="auto" w:fill="0085AC"/>
      </w:tcPr>
    </w:tblStylePr>
    <w:tblStylePr w:type="firstCol">
      <w:rPr>
        <w:b/>
        <w:bCs/>
        <w:color w:val="FFFFFF" w:themeColor="background1"/>
      </w:rPr>
      <w:tblPr/>
      <w:tcPr>
        <w:tcBorders>
          <w:insideH w:val="single" w:sz="4" w:space="0" w:color="FFFFFF" w:themeColor="background1"/>
        </w:tcBorders>
        <w:shd w:val="clear" w:color="auto" w:fill="0085AC"/>
      </w:tcPr>
    </w:tblStylePr>
    <w:tblStylePr w:type="lastCol">
      <w:rPr>
        <w:b/>
        <w:bCs/>
      </w:rPr>
    </w:tblStylePr>
    <w:tblStylePr w:type="band1Vert">
      <w:tblPr/>
      <w:tcPr>
        <w:shd w:val="clear" w:color="auto" w:fill="BFE1EA"/>
      </w:tcPr>
    </w:tblStylePr>
    <w:tblStylePr w:type="band2Horz">
      <w:tblPr/>
      <w:tcPr>
        <w:shd w:val="clear" w:color="auto" w:fill="BFE1EA"/>
      </w:tcPr>
    </w:tblStylePr>
  </w:style>
  <w:style w:type="table" w:customStyle="1" w:styleId="DOETable3Labradorite">
    <w:name w:val="DOE Table 3 (Labradorite)"/>
    <w:basedOn w:val="DOETable2Labradorite"/>
    <w:uiPriority w:val="99"/>
    <w:rsid w:val="00624C3B"/>
    <w:tblPr/>
    <w:tcPr>
      <w:shd w:val="clear" w:color="auto" w:fill="BFE1EA"/>
    </w:tcPr>
    <w:tblStylePr w:type="firstRow">
      <w:rPr>
        <w:b/>
        <w:bCs/>
        <w:color w:val="FFFFFF" w:themeColor="background1"/>
      </w:rPr>
      <w:tblPr/>
      <w:tcPr>
        <w:tcBorders>
          <w:top w:val="single" w:sz="4" w:space="0" w:color="0085AC"/>
          <w:left w:val="single" w:sz="4" w:space="0" w:color="0085AC"/>
          <w:bottom w:val="nil"/>
          <w:right w:val="single" w:sz="4" w:space="0" w:color="0085AC"/>
          <w:insideH w:val="nil"/>
          <w:insideV w:val="single" w:sz="4" w:space="0" w:color="FFFFFF" w:themeColor="background1"/>
          <w:tl2br w:val="nil"/>
          <w:tr2bl w:val="nil"/>
        </w:tcBorders>
        <w:shd w:val="clear" w:color="auto" w:fill="0085AC"/>
      </w:tcPr>
    </w:tblStylePr>
    <w:tblStylePr w:type="lastRow">
      <w:rPr>
        <w:b/>
        <w:bCs/>
        <w:color w:val="FFFFFF" w:themeColor="background1"/>
      </w:rPr>
      <w:tblPr/>
      <w:tcPr>
        <w:tcBorders>
          <w:top w:val="double" w:sz="4" w:space="0" w:color="FFFFFF" w:themeColor="background1"/>
          <w:bottom w:val="single" w:sz="4" w:space="0" w:color="0085AC"/>
          <w:insideV w:val="single" w:sz="4" w:space="0" w:color="FFFFFF" w:themeColor="background1"/>
        </w:tcBorders>
        <w:shd w:val="clear" w:color="auto" w:fill="0085AC"/>
      </w:tcPr>
    </w:tblStylePr>
    <w:tblStylePr w:type="firstCol">
      <w:rPr>
        <w:b/>
        <w:bCs/>
        <w:color w:val="FFFFFF" w:themeColor="background1"/>
      </w:rPr>
      <w:tblPr/>
      <w:tcPr>
        <w:tcBorders>
          <w:insideH w:val="single" w:sz="4" w:space="0" w:color="FFFFFF" w:themeColor="background1"/>
        </w:tcBorders>
        <w:shd w:val="clear" w:color="auto" w:fill="0085AC"/>
      </w:tcPr>
    </w:tblStylePr>
    <w:tblStylePr w:type="lastCol">
      <w:rPr>
        <w:b/>
        <w:bCs/>
      </w:rPr>
      <w:tblPr/>
      <w:tcPr>
        <w:shd w:val="clear" w:color="auto" w:fill="BFE1EA"/>
      </w:tcPr>
    </w:tblStylePr>
    <w:tblStylePr w:type="band1Vert">
      <w:tblPr/>
      <w:tcPr>
        <w:shd w:val="clear" w:color="auto" w:fill="BFE1EA"/>
      </w:tcPr>
    </w:tblStylePr>
    <w:tblStylePr w:type="band2Vert">
      <w:tblPr/>
      <w:tcPr>
        <w:shd w:val="clear" w:color="auto" w:fill="BFE1EA"/>
      </w:tcPr>
    </w:tblStylePr>
    <w:tblStylePr w:type="band1Horz">
      <w:tblPr/>
      <w:tcPr>
        <w:shd w:val="clear" w:color="auto" w:fill="BFE1EA"/>
      </w:tcPr>
    </w:tblStylePr>
    <w:tblStylePr w:type="band2Horz">
      <w:tblPr/>
      <w:tcPr>
        <w:shd w:val="clear" w:color="auto" w:fill="BFE1EA"/>
      </w:tcPr>
    </w:tblStylePr>
  </w:style>
  <w:style w:type="table" w:customStyle="1" w:styleId="DOETable4Labradorite">
    <w:name w:val="DOE Table 4 (Labradorite)"/>
    <w:basedOn w:val="DOETable1Labradorite"/>
    <w:uiPriority w:val="99"/>
    <w:rsid w:val="00487149"/>
    <w:tblPr/>
    <w:tcPr>
      <w:shd w:val="clear" w:color="auto" w:fill="auto"/>
    </w:tcPr>
    <w:tblStylePr w:type="firstRow">
      <w:rPr>
        <w:b/>
        <w:bCs/>
        <w:color w:val="auto"/>
      </w:rPr>
      <w:tblPr/>
      <w:tcPr>
        <w:tcBorders>
          <w:top w:val="single" w:sz="2" w:space="0" w:color="0085AC"/>
          <w:left w:val="single" w:sz="2" w:space="0" w:color="0085AC"/>
          <w:bottom w:val="single" w:sz="12" w:space="0" w:color="0085AC"/>
          <w:right w:val="single" w:sz="2" w:space="0" w:color="0085AC"/>
          <w:insideH w:val="nil"/>
          <w:insideV w:val="nil"/>
          <w:tl2br w:val="nil"/>
          <w:tr2bl w:val="nil"/>
        </w:tcBorders>
        <w:shd w:val="clear" w:color="auto" w:fill="auto"/>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1EA"/>
      </w:tcPr>
    </w:tblStylePr>
    <w:tblStylePr w:type="band2Vert">
      <w:rPr>
        <w:rFonts w:ascii="Arial" w:hAnsi="Arial"/>
        <w:sz w:val="20"/>
      </w:rPr>
    </w:tblStylePr>
    <w:tblStylePr w:type="band1Horz">
      <w:tblPr/>
      <w:tcPr>
        <w:shd w:val="clear" w:color="auto" w:fill="BFE1EA"/>
      </w:tcPr>
    </w:tblStylePr>
    <w:tblStylePr w:type="band2Horz">
      <w:tblPr/>
      <w:tcPr>
        <w:shd w:val="clear" w:color="auto" w:fill="BFE1EA"/>
      </w:tcPr>
    </w:tblStylePr>
  </w:style>
  <w:style w:type="paragraph" w:styleId="BalloonText">
    <w:name w:val="Balloon Text"/>
    <w:basedOn w:val="Normal"/>
    <w:link w:val="BalloonTextChar"/>
    <w:uiPriority w:val="99"/>
    <w:semiHidden/>
    <w:unhideWhenUsed/>
    <w:rsid w:val="00505B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Landplanning@education.wa.edu.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plh.wa.gov.au/lpsreg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0B5D9C-42A0-4F9C-9B2C-D9767449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KILBY Sophie [Digital Content]</cp:lastModifiedBy>
  <cp:revision>10</cp:revision>
  <cp:lastPrinted>2021-10-06T05:38:00Z</cp:lastPrinted>
  <dcterms:created xsi:type="dcterms:W3CDTF">2022-12-12T08:39:00Z</dcterms:created>
  <dcterms:modified xsi:type="dcterms:W3CDTF">2022-12-13T06:12:00Z</dcterms:modified>
  <cp:contentStatus>TRIMNumber</cp:contentStatus>
</cp:coreProperties>
</file>