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6647" w14:textId="77777777" w:rsidR="00CE7016" w:rsidRPr="00F20B53" w:rsidRDefault="00CE7016" w:rsidP="00CE7016">
      <w:pPr>
        <w:pStyle w:val="Title"/>
        <w:rPr>
          <w:sz w:val="44"/>
          <w:szCs w:val="44"/>
        </w:rPr>
      </w:pPr>
      <w:r w:rsidRPr="00F20B53">
        <w:rPr>
          <w:sz w:val="44"/>
          <w:szCs w:val="44"/>
        </w:rPr>
        <w:t>WAPC OP2.4 – Planning for School Sites</w:t>
      </w:r>
    </w:p>
    <w:p w14:paraId="167A9DFE" w14:textId="77777777" w:rsidR="00880A84" w:rsidRPr="00760E7C" w:rsidRDefault="00CE7016" w:rsidP="00CE7016">
      <w:pPr>
        <w:pStyle w:val="Title"/>
        <w:rPr>
          <w:rStyle w:val="DocumentSubtitle"/>
          <w:sz w:val="32"/>
          <w:szCs w:val="32"/>
        </w:rPr>
      </w:pPr>
      <w:r w:rsidRPr="00760E7C">
        <w:rPr>
          <w:rStyle w:val="DocumentSubtitle"/>
          <w:sz w:val="32"/>
          <w:szCs w:val="32"/>
        </w:rPr>
        <w:t xml:space="preserve">FACT SHEET 4 – </w:t>
      </w:r>
      <w:r w:rsidR="00760E7C" w:rsidRPr="00760E7C">
        <w:rPr>
          <w:rStyle w:val="DocumentSubtitle"/>
          <w:sz w:val="32"/>
          <w:szCs w:val="32"/>
        </w:rPr>
        <w:t>Infrastructure Surrounding School S</w:t>
      </w:r>
      <w:r w:rsidRPr="00760E7C">
        <w:rPr>
          <w:rStyle w:val="DocumentSubtitle"/>
          <w:sz w:val="32"/>
          <w:szCs w:val="32"/>
        </w:rPr>
        <w:t>ites and Developer Infrastructure Reimbursement Claims</w:t>
      </w:r>
      <w:r w:rsidR="00880A84" w:rsidRPr="00760E7C">
        <w:rPr>
          <w:rStyle w:val="DocumentSubtitle"/>
          <w:sz w:val="32"/>
          <w:szCs w:val="32"/>
        </w:rPr>
        <w:t xml:space="preserve"> </w:t>
      </w:r>
    </w:p>
    <w:p w14:paraId="790BD7D6" w14:textId="77777777" w:rsidR="00CE7016" w:rsidRPr="005A2E26" w:rsidRDefault="00880A84" w:rsidP="00CE7016">
      <w:pPr>
        <w:pStyle w:val="Title"/>
        <w:rPr>
          <w:rStyle w:val="DocumentSubtitle"/>
          <w:sz w:val="28"/>
          <w:szCs w:val="28"/>
        </w:rPr>
      </w:pPr>
      <w:r>
        <w:rPr>
          <w:rStyle w:val="DocumentSubtitle"/>
          <w:sz w:val="28"/>
          <w:szCs w:val="28"/>
        </w:rPr>
        <w:t xml:space="preserve">                                         </w:t>
      </w:r>
    </w:p>
    <w:p w14:paraId="56642048" w14:textId="77777777" w:rsidR="00D21BAC" w:rsidRPr="0061215E" w:rsidRDefault="00CE7016" w:rsidP="002D00AA">
      <w:pPr>
        <w:pStyle w:val="Heading1"/>
      </w:pPr>
      <w:r>
        <w:t>Purpose of infrastructure planning</w:t>
      </w:r>
    </w:p>
    <w:p w14:paraId="5A374797" w14:textId="77777777" w:rsidR="00CE7016" w:rsidRDefault="00CE7016" w:rsidP="003C3941">
      <w:pPr>
        <w:jc w:val="both"/>
      </w:pPr>
      <w:r>
        <w:t>The provisions contained in the Western Australian Planning Commission’s Operational Policy 2.4 – Planning for School Sites (OP 2.4) seeks to</w:t>
      </w:r>
      <w:r w:rsidRPr="001B63E5">
        <w:t xml:space="preserve"> ensure that </w:t>
      </w:r>
      <w:r>
        <w:t>public school sites a</w:t>
      </w:r>
      <w:r w:rsidRPr="00DF13DA">
        <w:t>re appropriately serviced with the necessary utilities and road infrastructure to support the development and operation of public school</w:t>
      </w:r>
      <w:r>
        <w:t>s.</w:t>
      </w:r>
    </w:p>
    <w:p w14:paraId="15C2591B" w14:textId="77777777" w:rsidR="00CE7016" w:rsidRDefault="00CE7016" w:rsidP="003C3941">
      <w:pPr>
        <w:jc w:val="both"/>
      </w:pPr>
      <w:r>
        <w:t xml:space="preserve">Infrastructure planning surrounding school sites plays a critical role in delivering efficient movement network and road safety, safe active street design and safeguarding the amenity of adjacent properties. </w:t>
      </w:r>
    </w:p>
    <w:p w14:paraId="5BE10DD7" w14:textId="77777777" w:rsidR="0083375D" w:rsidRDefault="00CE7016" w:rsidP="0083375D">
      <w:pPr>
        <w:jc w:val="both"/>
      </w:pPr>
      <w:r>
        <w:t xml:space="preserve">Subdividers/landowners are responsible for the </w:t>
      </w:r>
      <w:r w:rsidRPr="002E5FD6">
        <w:t>co</w:t>
      </w:r>
      <w:r>
        <w:t xml:space="preserve">nstruction of road carriageways, on-street embayment parking bays </w:t>
      </w:r>
      <w:r w:rsidRPr="002E5FD6">
        <w:t>and traffic m</w:t>
      </w:r>
      <w:r>
        <w:t>anagement devices (e.g. as</w:t>
      </w:r>
      <w:r w:rsidRPr="002E5FD6">
        <w:t xml:space="preserve"> raised pedestrian </w:t>
      </w:r>
      <w:r>
        <w:t xml:space="preserve">crossings) which are adjacent to the school site and/or directly attributed to the needs of the school site. This infrastructure </w:t>
      </w:r>
      <w:r w:rsidRPr="002E5FD6">
        <w:t>should be provided at the time of subdivision</w:t>
      </w:r>
      <w:r>
        <w:t xml:space="preserve"> to the satisfaction of the local government and the Department of Education.</w:t>
      </w:r>
    </w:p>
    <w:p w14:paraId="63DCD150" w14:textId="77777777" w:rsidR="0083375D" w:rsidRPr="0061215E" w:rsidRDefault="0083375D" w:rsidP="0083375D">
      <w:pPr>
        <w:pStyle w:val="Heading1"/>
      </w:pPr>
      <w:r w:rsidRPr="0083375D">
        <w:t>Developer Infrastructure Reimbursement Claims</w:t>
      </w:r>
    </w:p>
    <w:p w14:paraId="2956CC98" w14:textId="77777777" w:rsidR="0083375D" w:rsidRDefault="0083375D" w:rsidP="0083375D">
      <w:pPr>
        <w:jc w:val="both"/>
      </w:pPr>
      <w:r>
        <w:t xml:space="preserve">A subdivider/landowner is able to seek reimbursement towards the cost of eligible civil works immediately adjoining the school site from the </w:t>
      </w:r>
      <w:r w:rsidRPr="00252EB7">
        <w:t>Department</w:t>
      </w:r>
      <w:r>
        <w:t xml:space="preserve">. This process is known as </w:t>
      </w:r>
      <w:r w:rsidRPr="00EE455B">
        <w:t>Developer Infrastructure Reimbursement Claims</w:t>
      </w:r>
      <w:r>
        <w:t xml:space="preserve"> (DIRCS).</w:t>
      </w:r>
    </w:p>
    <w:p w14:paraId="01F3B798" w14:textId="77777777" w:rsidR="0083375D" w:rsidRDefault="0083375D" w:rsidP="0083375D">
      <w:pPr>
        <w:jc w:val="both"/>
      </w:pPr>
      <w:r>
        <w:t>Consistent with OP 2.4, a subdivider/landowner may seek reimbursement</w:t>
      </w:r>
      <w:r w:rsidRPr="001D51D9">
        <w:t xml:space="preserve"> </w:t>
      </w:r>
      <w:r>
        <w:t>towards:</w:t>
      </w:r>
    </w:p>
    <w:p w14:paraId="7DD6E38F" w14:textId="77777777" w:rsidR="0083375D" w:rsidRDefault="0083375D" w:rsidP="0083375D">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rsidRPr="001D51D9">
        <w:t>the cost of providing pedestrian paths</w:t>
      </w:r>
      <w:r>
        <w:t xml:space="preserve"> </w:t>
      </w:r>
      <w:r w:rsidRPr="001D51D9">
        <w:t>immediate</w:t>
      </w:r>
      <w:r>
        <w:t>ly abutting the school site; and</w:t>
      </w:r>
    </w:p>
    <w:p w14:paraId="37E4DEA3" w14:textId="77777777" w:rsidR="0083375D" w:rsidRDefault="0083375D" w:rsidP="0083375D">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t>50 per cent of the cost</w:t>
      </w:r>
      <w:r w:rsidRPr="001D51D9">
        <w:t xml:space="preserve"> </w:t>
      </w:r>
      <w:r>
        <w:t>of on-street embayment parking bays</w:t>
      </w:r>
      <w:r w:rsidRPr="001D51D9">
        <w:t xml:space="preserve"> and</w:t>
      </w:r>
      <w:r>
        <w:t xml:space="preserve"> raised pedestrian crossings that </w:t>
      </w:r>
      <w:r w:rsidRPr="001D51D9">
        <w:t xml:space="preserve">directly attributed to the </w:t>
      </w:r>
      <w:r>
        <w:t xml:space="preserve">needs of the </w:t>
      </w:r>
      <w:r w:rsidRPr="001D51D9">
        <w:t>school site</w:t>
      </w:r>
      <w:r>
        <w:t xml:space="preserve">. </w:t>
      </w:r>
    </w:p>
    <w:p w14:paraId="623DDD2B" w14:textId="77777777" w:rsidR="00614683" w:rsidRDefault="00614683" w:rsidP="00614683">
      <w:pPr>
        <w:jc w:val="both"/>
        <w:rPr>
          <w:b/>
          <w:color w:val="0085AC"/>
          <w:sz w:val="24"/>
          <w:szCs w:val="24"/>
        </w:rPr>
      </w:pPr>
      <w:r>
        <w:rPr>
          <w:b/>
          <w:color w:val="0085AC"/>
          <w:sz w:val="24"/>
          <w:szCs w:val="24"/>
        </w:rPr>
        <w:br/>
      </w:r>
      <w:r w:rsidRPr="00614683">
        <w:rPr>
          <w:b/>
          <w:color w:val="0085AC"/>
          <w:sz w:val="24"/>
          <w:szCs w:val="24"/>
        </w:rPr>
        <w:t xml:space="preserve">Information to be submitted to the Department of Education </w:t>
      </w:r>
    </w:p>
    <w:p w14:paraId="7A5A9F2C" w14:textId="77777777" w:rsidR="00614683" w:rsidRDefault="00614683" w:rsidP="00614683">
      <w:pPr>
        <w:pStyle w:val="ListParagraph"/>
        <w:numPr>
          <w:ilvl w:val="0"/>
          <w:numId w:val="0"/>
        </w:numPr>
        <w:jc w:val="both"/>
      </w:pPr>
      <w:r w:rsidRPr="001D51D9">
        <w:t>Whe</w:t>
      </w:r>
      <w:r>
        <w:t xml:space="preserve">re subdividers are seeking reimbursement from the </w:t>
      </w:r>
      <w:r w:rsidRPr="00252EB7">
        <w:t>Department</w:t>
      </w:r>
      <w:r>
        <w:t xml:space="preserve"> towards eligible civil works immediately adjoining the school site, subdividers or their consultant engineers will need to provide sufficient evidence of the claimable civil items to the Department for review.  </w:t>
      </w:r>
    </w:p>
    <w:p w14:paraId="0199520D" w14:textId="77777777" w:rsidR="00614683" w:rsidRDefault="00614683" w:rsidP="00614683">
      <w:pPr>
        <w:pStyle w:val="ListParagraph"/>
        <w:numPr>
          <w:ilvl w:val="0"/>
          <w:numId w:val="0"/>
        </w:numPr>
        <w:jc w:val="both"/>
      </w:pPr>
      <w:r>
        <w:br/>
        <w:t>In order for the claim to be assessed expediently and accurately, the subdivider or their representative must provide the following documentation:</w:t>
      </w:r>
    </w:p>
    <w:p w14:paraId="71ED61F6" w14:textId="77777777" w:rsidR="00614683" w:rsidRDefault="00614683" w:rsidP="00614683">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rsidRPr="00220AE2">
        <w:t>WAPC subdivision approval letter</w:t>
      </w:r>
      <w:r>
        <w:t xml:space="preserve"> including subdivision plan/deposited plan;</w:t>
      </w:r>
    </w:p>
    <w:p w14:paraId="3AD3FEC6" w14:textId="77777777" w:rsidR="00614683" w:rsidRDefault="00614683" w:rsidP="00614683">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t>civil and engineering plans including relevant cross sections;</w:t>
      </w:r>
    </w:p>
    <w:p w14:paraId="71E1C03A" w14:textId="77777777" w:rsidR="00614683" w:rsidRDefault="00614683" w:rsidP="00614683">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t>payment certificate claims (including rates and quantities); and</w:t>
      </w:r>
    </w:p>
    <w:p w14:paraId="7C986A27" w14:textId="77777777" w:rsidR="00614683" w:rsidRDefault="00614683" w:rsidP="00614683">
      <w:pPr>
        <w:pStyle w:val="ListParagraph"/>
        <w:numPr>
          <w:ilvl w:val="0"/>
          <w:numId w:val="23"/>
        </w:numPr>
        <w:tabs>
          <w:tab w:val="clear" w:pos="1021"/>
          <w:tab w:val="clear" w:pos="1361"/>
          <w:tab w:val="clear" w:pos="1701"/>
          <w:tab w:val="clear" w:pos="2041"/>
          <w:tab w:val="clear" w:pos="2381"/>
          <w:tab w:val="clear" w:pos="2722"/>
          <w:tab w:val="clear" w:pos="3062"/>
          <w:tab w:val="clear" w:pos="3402"/>
        </w:tabs>
        <w:spacing w:before="0" w:after="160" w:line="259" w:lineRule="auto"/>
        <w:ind w:left="456" w:hanging="456"/>
        <w:contextualSpacing/>
        <w:jc w:val="both"/>
      </w:pPr>
      <w:r>
        <w:t>invoices supporting the values requested in the claim.</w:t>
      </w:r>
    </w:p>
    <w:p w14:paraId="7E2D4862" w14:textId="77777777" w:rsidR="0083375D" w:rsidRDefault="0083375D" w:rsidP="0083375D">
      <w:pPr>
        <w:jc w:val="both"/>
      </w:pPr>
    </w:p>
    <w:p w14:paraId="2A3EDF4C" w14:textId="77777777" w:rsidR="006C38C9" w:rsidRDefault="006C38C9" w:rsidP="006C38C9">
      <w:pPr>
        <w:jc w:val="both"/>
        <w:rPr>
          <w:b/>
          <w:color w:val="0085AC"/>
          <w:sz w:val="24"/>
          <w:szCs w:val="24"/>
        </w:rPr>
      </w:pPr>
      <w:r w:rsidRPr="006C38C9">
        <w:rPr>
          <w:b/>
          <w:color w:val="0085AC"/>
          <w:sz w:val="24"/>
          <w:szCs w:val="24"/>
        </w:rPr>
        <w:t xml:space="preserve">Assessment of DIRCs </w:t>
      </w:r>
    </w:p>
    <w:p w14:paraId="49093EA6" w14:textId="77777777" w:rsidR="006C38C9" w:rsidRDefault="006C38C9" w:rsidP="006C38C9">
      <w:pPr>
        <w:pStyle w:val="ListParagraph"/>
        <w:numPr>
          <w:ilvl w:val="0"/>
          <w:numId w:val="0"/>
        </w:numPr>
        <w:jc w:val="both"/>
      </w:pPr>
      <w:r>
        <w:t>Upon receipt of the required documentation from subdividers to support their claim, the Department will seek independent technical advice on the claim to determine if they are fair and reasonable.  Subdividers could anticipate receiving feedback from the Department regarding the outcome of the independent technical review within 4 to 6 weeks of lodgement.</w:t>
      </w:r>
    </w:p>
    <w:p w14:paraId="02B5508F" w14:textId="2B9B07E8" w:rsidR="006C38C9" w:rsidRDefault="006C38C9" w:rsidP="0083375D">
      <w:pPr>
        <w:jc w:val="both"/>
      </w:pPr>
      <w:r>
        <w:t>T</w:t>
      </w:r>
      <w:r w:rsidRPr="001D51D9">
        <w:t xml:space="preserve">he Department will consider using the </w:t>
      </w:r>
      <w:r>
        <w:t>previous</w:t>
      </w:r>
      <w:r w:rsidRPr="001D51D9">
        <w:t xml:space="preserve"> method of calculating DIRCS for an additional three (3) months from </w:t>
      </w:r>
      <w:r w:rsidR="00CD4CEB">
        <w:t>December 2022</w:t>
      </w:r>
      <w:r w:rsidRPr="001D51D9">
        <w:t>.</w:t>
      </w:r>
    </w:p>
    <w:p w14:paraId="00E020CC" w14:textId="77777777" w:rsidR="0094720C" w:rsidRDefault="00E033E8" w:rsidP="0094720C">
      <w:pPr>
        <w:pStyle w:val="ListParagraph"/>
        <w:numPr>
          <w:ilvl w:val="0"/>
          <w:numId w:val="0"/>
        </w:numPr>
        <w:jc w:val="both"/>
      </w:pPr>
      <w:r w:rsidRPr="001D51D9">
        <w:t xml:space="preserve">Any </w:t>
      </w:r>
      <w:r>
        <w:t>existing non-binding agreements</w:t>
      </w:r>
      <w:r w:rsidRPr="001D51D9">
        <w:t xml:space="preserve">, invoices, or the like, received/made under the previous method for the sharing of the cost and construction of roads adjacent to school sites, (including those made after commencement of the policy), will be honoured by the Department for 12 months from </w:t>
      </w:r>
      <w:r w:rsidRPr="0094720C">
        <w:t>TBC 2021</w:t>
      </w:r>
      <w:r w:rsidRPr="001D51D9">
        <w:t>.</w:t>
      </w:r>
    </w:p>
    <w:p w14:paraId="3156D0FC" w14:textId="77777777" w:rsidR="00E033E8" w:rsidRDefault="00E033E8" w:rsidP="0094720C">
      <w:pPr>
        <w:pStyle w:val="ListParagraph"/>
        <w:numPr>
          <w:ilvl w:val="0"/>
          <w:numId w:val="0"/>
        </w:numPr>
        <w:jc w:val="both"/>
      </w:pPr>
      <w:r w:rsidRPr="001D51D9">
        <w:t>After this date</w:t>
      </w:r>
      <w:r>
        <w:t xml:space="preserve"> and consistent with OP 2.4</w:t>
      </w:r>
      <w:r w:rsidRPr="001D51D9">
        <w:t xml:space="preserve">, the Department will only </w:t>
      </w:r>
      <w:r>
        <w:t>reimburse</w:t>
      </w:r>
      <w:r w:rsidRPr="001D51D9">
        <w:t xml:space="preserve"> toward</w:t>
      </w:r>
      <w:r>
        <w:t>s</w:t>
      </w:r>
      <w:r w:rsidRPr="001D51D9">
        <w:t xml:space="preserve"> the</w:t>
      </w:r>
      <w:r>
        <w:t xml:space="preserve"> works as mentioned above. </w:t>
      </w:r>
    </w:p>
    <w:p w14:paraId="6A9C17B9" w14:textId="77777777" w:rsidR="00DD7DCC" w:rsidRPr="0061215E" w:rsidRDefault="00DD7DCC" w:rsidP="00DD7DCC">
      <w:pPr>
        <w:pStyle w:val="Heading1"/>
      </w:pPr>
      <w:r>
        <w:t>Further information</w:t>
      </w:r>
    </w:p>
    <w:p w14:paraId="01470C82" w14:textId="77777777" w:rsidR="00DD7DCC" w:rsidRDefault="00DD7DCC" w:rsidP="00DD7DCC">
      <w:r>
        <w:t xml:space="preserve">For more information on the pre-lodgement structure plan referral process, please email your enquiries to </w:t>
      </w:r>
      <w:hyperlink r:id="rId10" w:history="1">
        <w:r w:rsidRPr="003524BC">
          <w:rPr>
            <w:rStyle w:val="Hyperlink"/>
          </w:rPr>
          <w:t>Landplanning@education.wa.edu.au</w:t>
        </w:r>
      </w:hyperlink>
      <w:r>
        <w:rPr>
          <w:rStyle w:val="Hyperlink"/>
        </w:rPr>
        <w:br/>
      </w:r>
    </w:p>
    <w:tbl>
      <w:tblPr>
        <w:tblStyle w:val="DOETable1Labradorite"/>
        <w:tblW w:w="9069" w:type="dxa"/>
        <w:tblLook w:val="06A0" w:firstRow="1" w:lastRow="0" w:firstColumn="1" w:lastColumn="0" w:noHBand="1" w:noVBand="1"/>
      </w:tblPr>
      <w:tblGrid>
        <w:gridCol w:w="9069"/>
      </w:tblGrid>
      <w:tr w:rsidR="00DD7DCC" w14:paraId="260604EB" w14:textId="77777777" w:rsidTr="003C394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9" w:type="dxa"/>
          </w:tcPr>
          <w:p w14:paraId="1DB78F6D" w14:textId="77777777" w:rsidR="00DD7DCC" w:rsidRPr="00CC15E9" w:rsidRDefault="00DD7DCC" w:rsidP="003C3941">
            <w:pPr>
              <w:rPr>
                <w:b w:val="0"/>
                <w:bCs w:val="0"/>
              </w:rPr>
            </w:pPr>
            <w:r>
              <w:t>Disclaimer</w:t>
            </w:r>
          </w:p>
        </w:tc>
      </w:tr>
      <w:tr w:rsidR="00DD7DCC" w14:paraId="0D487628" w14:textId="77777777" w:rsidTr="003C3941">
        <w:trPr>
          <w:trHeight w:val="454"/>
        </w:trPr>
        <w:tc>
          <w:tcPr>
            <w:cnfStyle w:val="001000000000" w:firstRow="0" w:lastRow="0" w:firstColumn="1" w:lastColumn="0" w:oddVBand="0" w:evenVBand="0" w:oddHBand="0" w:evenHBand="0" w:firstRowFirstColumn="0" w:firstRowLastColumn="0" w:lastRowFirstColumn="0" w:lastRowLastColumn="0"/>
            <w:tcW w:w="9069" w:type="dxa"/>
          </w:tcPr>
          <w:p w14:paraId="4FF772D1" w14:textId="77777777" w:rsidR="00DD7DCC" w:rsidRPr="00757FB7" w:rsidRDefault="00DD7DCC" w:rsidP="003C3941">
            <w:pPr>
              <w:ind w:left="27"/>
              <w:jc w:val="both"/>
              <w:rPr>
                <w:b w:val="0"/>
                <w:sz w:val="18"/>
                <w:szCs w:val="18"/>
              </w:rPr>
            </w:pPr>
            <w:r w:rsidRPr="00757FB7">
              <w:rPr>
                <w:b w:val="0"/>
                <w:sz w:val="18"/>
                <w:szCs w:val="18"/>
              </w:rPr>
              <w:t>This Fact Sheet is prepared by the Department of Education to provide general guidance for developers, landowners and proponents on the pre-lodgement structure plan referral process based on the provisions of the Western Australian Planning Commission’s Operational Policy 2.4 – Planning for school sites (OP 2.4). Should there be any inconsistency between this Fact Sheet and the OP 2.4, the OP 2.4 shall prevail.</w:t>
            </w:r>
          </w:p>
          <w:p w14:paraId="62FC8A09" w14:textId="77777777" w:rsidR="00DD7DCC" w:rsidRPr="00CC15E9" w:rsidRDefault="00DD7DCC" w:rsidP="003C3941">
            <w:pPr>
              <w:ind w:left="27"/>
              <w:jc w:val="both"/>
              <w:rPr>
                <w:b w:val="0"/>
                <w:sz w:val="16"/>
                <w:szCs w:val="16"/>
              </w:rPr>
            </w:pPr>
            <w:r w:rsidRPr="00757FB7">
              <w:rPr>
                <w:b w:val="0"/>
                <w:sz w:val="18"/>
                <w:szCs w:val="18"/>
              </w:rPr>
              <w:t>Any representation, statement, opinion or advice expressed or implied in this publication is made in good faith and on the basis that the government, its employees and agents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fact sheet to particular circumstances.</w:t>
            </w:r>
          </w:p>
        </w:tc>
      </w:tr>
    </w:tbl>
    <w:p w14:paraId="2FE98BD0" w14:textId="77777777" w:rsidR="00DD7DCC" w:rsidRDefault="00DD7DCC" w:rsidP="00DD7DCC">
      <w:pPr>
        <w:jc w:val="both"/>
        <w:rPr>
          <w:b/>
        </w:rPr>
      </w:pPr>
    </w:p>
    <w:p w14:paraId="2DA575A4" w14:textId="77777777" w:rsidR="00DD7DCC" w:rsidRDefault="00DD7DCC" w:rsidP="00DD7DCC"/>
    <w:sectPr w:rsidR="00DD7DCC" w:rsidSect="00CE701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701" w:left="1418" w:header="709"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5F7C" w14:textId="77777777" w:rsidR="00C778A1" w:rsidRDefault="00C778A1" w:rsidP="00127DAD">
      <w:r>
        <w:separator/>
      </w:r>
    </w:p>
  </w:endnote>
  <w:endnote w:type="continuationSeparator" w:id="0">
    <w:p w14:paraId="1BBF897A" w14:textId="77777777" w:rsidR="00C778A1" w:rsidRDefault="00C778A1"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6575" w14:textId="77777777" w:rsidR="005B446B" w:rsidRDefault="005B4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B9EA" w14:textId="77777777" w:rsidR="000F6D5A" w:rsidRPr="000F6D5A" w:rsidRDefault="000F6D5A" w:rsidP="000F6D5A">
    <w:pPr>
      <w:pStyle w:val="Footer"/>
    </w:pPr>
    <w:r w:rsidRPr="000F6D5A">
      <w:tab/>
    </w:r>
    <w:r w:rsidRPr="000F6D5A">
      <w:tab/>
    </w:r>
  </w:p>
  <w:p w14:paraId="38B61CA0" w14:textId="69718AC9" w:rsidR="000F6D5A" w:rsidRPr="000F6D5A" w:rsidRDefault="00297C14" w:rsidP="000F6D5A">
    <w:pPr>
      <w:pStyle w:val="Footer"/>
    </w:pPr>
    <w:r w:rsidRPr="000F6D5A">
      <w:tab/>
    </w:r>
    <w:r w:rsidRPr="000F6D5A">
      <w:fldChar w:fldCharType="begin"/>
    </w:r>
    <w:r w:rsidRPr="000F6D5A">
      <w:instrText xml:space="preserve"> PAGE   \* MERGEFORMAT </w:instrText>
    </w:r>
    <w:r w:rsidRPr="000F6D5A">
      <w:fldChar w:fldCharType="separate"/>
    </w:r>
    <w:r w:rsidR="00A95DFB">
      <w:rPr>
        <w:noProof/>
      </w:rPr>
      <w:t>2</w:t>
    </w:r>
    <w:r w:rsidRPr="000F6D5A">
      <w:fldChar w:fldCharType="end"/>
    </w:r>
    <w:r w:rsidR="00440775" w:rsidRPr="000F6D5A">
      <w:tab/>
    </w:r>
    <w:r w:rsidR="00D81EEF">
      <w:t>13/12/2022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70FD" w14:textId="77777777" w:rsidR="00440775" w:rsidRPr="001E1668" w:rsidRDefault="001E1668" w:rsidP="001E1668">
    <w:pPr>
      <w:pStyle w:val="Footer"/>
    </w:pPr>
    <w:r w:rsidRPr="001E1668">
      <w:tab/>
    </w:r>
    <w:r w:rsidRPr="001E1668">
      <w:tab/>
    </w:r>
  </w:p>
  <w:p w14:paraId="32AB8FEC" w14:textId="2476BBD9" w:rsidR="00AF71AF" w:rsidRPr="001E1668" w:rsidRDefault="00440775" w:rsidP="001E1668">
    <w:pPr>
      <w:pStyle w:val="Footer"/>
    </w:pPr>
    <w:r w:rsidRPr="001E1668">
      <w:tab/>
    </w:r>
    <w:r w:rsidRPr="001E1668">
      <w:tab/>
    </w:r>
    <w:r w:rsidR="00D81EEF">
      <w:t>13/12/2022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753C" w14:textId="77777777" w:rsidR="00C778A1" w:rsidRDefault="00C778A1" w:rsidP="00127DAD">
      <w:r>
        <w:separator/>
      </w:r>
    </w:p>
  </w:footnote>
  <w:footnote w:type="continuationSeparator" w:id="0">
    <w:p w14:paraId="75E5FDC1" w14:textId="77777777" w:rsidR="00C778A1" w:rsidRDefault="00C778A1"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780E" w14:textId="77777777" w:rsidR="005B446B" w:rsidRDefault="005B4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D80C" w14:textId="77777777" w:rsidR="00633068" w:rsidRDefault="00633068">
    <w:pPr>
      <w:pStyle w:val="Header"/>
    </w:pPr>
    <w:r>
      <w:rPr>
        <w:noProof/>
        <w:lang w:eastAsia="en-AU"/>
      </w:rPr>
      <w:drawing>
        <wp:anchor distT="0" distB="0" distL="114300" distR="114300" simplePos="0" relativeHeight="251656704" behindDoc="1" locked="0" layoutInCell="1" allowOverlap="1" wp14:anchorId="054A4AAB" wp14:editId="0E1F4110">
          <wp:simplePos x="0" y="0"/>
          <wp:positionH relativeFrom="page">
            <wp:align>left</wp:align>
          </wp:positionH>
          <wp:positionV relativeFrom="page">
            <wp:align>top</wp:align>
          </wp:positionV>
          <wp:extent cx="7559998" cy="10690691"/>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F9F4" w14:textId="77777777" w:rsidR="0061215E" w:rsidRDefault="00A8272B" w:rsidP="00645403">
    <w:pPr>
      <w:pStyle w:val="Header"/>
      <w:tabs>
        <w:tab w:val="clear" w:pos="4513"/>
        <w:tab w:val="clear" w:pos="9026"/>
        <w:tab w:val="left" w:pos="2970"/>
      </w:tabs>
    </w:pPr>
    <w:r>
      <w:rPr>
        <w:noProof/>
        <w:lang w:eastAsia="en-AU"/>
      </w:rPr>
      <w:drawing>
        <wp:anchor distT="0" distB="0" distL="114300" distR="114300" simplePos="0" relativeHeight="251657728" behindDoc="1" locked="0" layoutInCell="1" allowOverlap="1" wp14:anchorId="600FCC77" wp14:editId="5923E046">
          <wp:simplePos x="0" y="0"/>
          <wp:positionH relativeFrom="page">
            <wp:align>left</wp:align>
          </wp:positionH>
          <wp:positionV relativeFrom="page">
            <wp:align>top</wp:align>
          </wp:positionV>
          <wp:extent cx="7559998" cy="10690691"/>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r w:rsidR="00645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1"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2" w15:restartNumberingAfterBreak="0">
    <w:nsid w:val="2DBD78F7"/>
    <w:multiLevelType w:val="multilevel"/>
    <w:tmpl w:val="3F54E6F2"/>
    <w:lvl w:ilvl="0">
      <w:start w:val="1"/>
      <w:numFmt w:val="bullet"/>
      <w:pStyle w:val="ListParagraph"/>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13"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4"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15"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E5F76BA"/>
    <w:multiLevelType w:val="hybridMultilevel"/>
    <w:tmpl w:val="2552352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7" w15:restartNumberingAfterBreak="0">
    <w:nsid w:val="4B566DE3"/>
    <w:multiLevelType w:val="multilevel"/>
    <w:tmpl w:val="E1E6B2C4"/>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19"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0"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10"/>
  </w:num>
  <w:num w:numId="2">
    <w:abstractNumId w:val="15"/>
  </w:num>
  <w:num w:numId="3">
    <w:abstractNumId w:val="20"/>
  </w:num>
  <w:num w:numId="4">
    <w:abstractNumId w:val="10"/>
    <w:lvlOverride w:ilvl="0">
      <w:startOverride w:val="1"/>
    </w:lvlOverride>
  </w:num>
  <w:num w:numId="5">
    <w:abstractNumId w:val="18"/>
  </w:num>
  <w:num w:numId="6">
    <w:abstractNumId w:val="13"/>
  </w:num>
  <w:num w:numId="7">
    <w:abstractNumId w:val="1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LockTheme/>
  <w:defaultTabStop w:val="720"/>
  <w:defaultTableStyle w:val="DOETable1Labradorit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tDA3MrU0sTA0MjRQ0lEKTi0uzszPAykwqgUAVRURJiwAAAA="/>
  </w:docVars>
  <w:rsids>
    <w:rsidRoot w:val="00D21BAC"/>
    <w:rsid w:val="000164D9"/>
    <w:rsid w:val="00027DA4"/>
    <w:rsid w:val="00042E65"/>
    <w:rsid w:val="00043691"/>
    <w:rsid w:val="00043E92"/>
    <w:rsid w:val="00052680"/>
    <w:rsid w:val="0007329C"/>
    <w:rsid w:val="00073C07"/>
    <w:rsid w:val="00090E92"/>
    <w:rsid w:val="000B6A3E"/>
    <w:rsid w:val="000C19FD"/>
    <w:rsid w:val="000E61C9"/>
    <w:rsid w:val="000F6D5A"/>
    <w:rsid w:val="00117BC1"/>
    <w:rsid w:val="00127DAD"/>
    <w:rsid w:val="0013587A"/>
    <w:rsid w:val="00137D84"/>
    <w:rsid w:val="001525FB"/>
    <w:rsid w:val="0017483D"/>
    <w:rsid w:val="00177D2D"/>
    <w:rsid w:val="0019358B"/>
    <w:rsid w:val="001B3791"/>
    <w:rsid w:val="001E1668"/>
    <w:rsid w:val="00237DA1"/>
    <w:rsid w:val="002464F0"/>
    <w:rsid w:val="00250BF2"/>
    <w:rsid w:val="00263F9A"/>
    <w:rsid w:val="002715EE"/>
    <w:rsid w:val="00285E42"/>
    <w:rsid w:val="002964D2"/>
    <w:rsid w:val="00296BF9"/>
    <w:rsid w:val="00297C14"/>
    <w:rsid w:val="002C558C"/>
    <w:rsid w:val="002D00AA"/>
    <w:rsid w:val="002F01CD"/>
    <w:rsid w:val="003152E0"/>
    <w:rsid w:val="00316604"/>
    <w:rsid w:val="0031727B"/>
    <w:rsid w:val="003403BB"/>
    <w:rsid w:val="00357EF6"/>
    <w:rsid w:val="00365B17"/>
    <w:rsid w:val="00390D50"/>
    <w:rsid w:val="003940EA"/>
    <w:rsid w:val="00397F0C"/>
    <w:rsid w:val="003B56AB"/>
    <w:rsid w:val="003C7ADD"/>
    <w:rsid w:val="003D7A55"/>
    <w:rsid w:val="004103B9"/>
    <w:rsid w:val="00414D84"/>
    <w:rsid w:val="00440775"/>
    <w:rsid w:val="0044231C"/>
    <w:rsid w:val="004661A2"/>
    <w:rsid w:val="00466E52"/>
    <w:rsid w:val="00487149"/>
    <w:rsid w:val="004B06B1"/>
    <w:rsid w:val="004D0B2E"/>
    <w:rsid w:val="005728CD"/>
    <w:rsid w:val="005A1925"/>
    <w:rsid w:val="005B118D"/>
    <w:rsid w:val="005B446B"/>
    <w:rsid w:val="005E1703"/>
    <w:rsid w:val="005E7F4A"/>
    <w:rsid w:val="0060579B"/>
    <w:rsid w:val="0061215E"/>
    <w:rsid w:val="00614683"/>
    <w:rsid w:val="00620FC1"/>
    <w:rsid w:val="00624C3B"/>
    <w:rsid w:val="00633068"/>
    <w:rsid w:val="00645403"/>
    <w:rsid w:val="0066616A"/>
    <w:rsid w:val="006936A9"/>
    <w:rsid w:val="00694179"/>
    <w:rsid w:val="00694952"/>
    <w:rsid w:val="006A1BE6"/>
    <w:rsid w:val="006B214C"/>
    <w:rsid w:val="006C38C9"/>
    <w:rsid w:val="006D0BC0"/>
    <w:rsid w:val="006E4D86"/>
    <w:rsid w:val="00707C9E"/>
    <w:rsid w:val="007327C5"/>
    <w:rsid w:val="00733411"/>
    <w:rsid w:val="007343DF"/>
    <w:rsid w:val="00760E7C"/>
    <w:rsid w:val="007657C5"/>
    <w:rsid w:val="00786BF1"/>
    <w:rsid w:val="007875ED"/>
    <w:rsid w:val="0079680B"/>
    <w:rsid w:val="007A70FC"/>
    <w:rsid w:val="007E4297"/>
    <w:rsid w:val="007F30C7"/>
    <w:rsid w:val="00804E4E"/>
    <w:rsid w:val="008250E2"/>
    <w:rsid w:val="0083375D"/>
    <w:rsid w:val="00840EFA"/>
    <w:rsid w:val="00854803"/>
    <w:rsid w:val="00880A84"/>
    <w:rsid w:val="0088584D"/>
    <w:rsid w:val="00886E6E"/>
    <w:rsid w:val="008A1F74"/>
    <w:rsid w:val="008A7361"/>
    <w:rsid w:val="008B02EB"/>
    <w:rsid w:val="008C0B41"/>
    <w:rsid w:val="00916AF7"/>
    <w:rsid w:val="0094720C"/>
    <w:rsid w:val="0095620D"/>
    <w:rsid w:val="00967403"/>
    <w:rsid w:val="00976958"/>
    <w:rsid w:val="00992BCE"/>
    <w:rsid w:val="009C75FC"/>
    <w:rsid w:val="00A15453"/>
    <w:rsid w:val="00A21D5C"/>
    <w:rsid w:val="00A26AEF"/>
    <w:rsid w:val="00A31658"/>
    <w:rsid w:val="00A31ADB"/>
    <w:rsid w:val="00A35095"/>
    <w:rsid w:val="00A43B6C"/>
    <w:rsid w:val="00A71819"/>
    <w:rsid w:val="00A77CBE"/>
    <w:rsid w:val="00A8272B"/>
    <w:rsid w:val="00A95DFB"/>
    <w:rsid w:val="00AC641B"/>
    <w:rsid w:val="00AD0E91"/>
    <w:rsid w:val="00AF71AF"/>
    <w:rsid w:val="00B13C58"/>
    <w:rsid w:val="00B54143"/>
    <w:rsid w:val="00B544BA"/>
    <w:rsid w:val="00B6170F"/>
    <w:rsid w:val="00BA6DE9"/>
    <w:rsid w:val="00BC3C66"/>
    <w:rsid w:val="00C35BA3"/>
    <w:rsid w:val="00C51A53"/>
    <w:rsid w:val="00C778A1"/>
    <w:rsid w:val="00C90815"/>
    <w:rsid w:val="00C96238"/>
    <w:rsid w:val="00CA0BE1"/>
    <w:rsid w:val="00CD4CEB"/>
    <w:rsid w:val="00CE19F1"/>
    <w:rsid w:val="00CE7016"/>
    <w:rsid w:val="00D21BAC"/>
    <w:rsid w:val="00D60B2F"/>
    <w:rsid w:val="00D81EEF"/>
    <w:rsid w:val="00D94535"/>
    <w:rsid w:val="00DD7DCC"/>
    <w:rsid w:val="00DE3892"/>
    <w:rsid w:val="00E033E8"/>
    <w:rsid w:val="00E14BB6"/>
    <w:rsid w:val="00E3357D"/>
    <w:rsid w:val="00E420D5"/>
    <w:rsid w:val="00E7327F"/>
    <w:rsid w:val="00E9357B"/>
    <w:rsid w:val="00EB5069"/>
    <w:rsid w:val="00EF20B0"/>
    <w:rsid w:val="00F0060B"/>
    <w:rsid w:val="00F06E0C"/>
    <w:rsid w:val="00F15DE1"/>
    <w:rsid w:val="00F26855"/>
    <w:rsid w:val="00F4033E"/>
    <w:rsid w:val="00F71F5B"/>
    <w:rsid w:val="00F8078E"/>
    <w:rsid w:val="00F8161E"/>
    <w:rsid w:val="00F94C0A"/>
    <w:rsid w:val="00FA03FB"/>
    <w:rsid w:val="00FA1899"/>
    <w:rsid w:val="00FA7FEC"/>
    <w:rsid w:val="00FB6D45"/>
    <w:rsid w:val="00FC4262"/>
    <w:rsid w:val="00FC6FAE"/>
    <w:rsid w:val="00FD1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5711"/>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2964D2"/>
    <w:pPr>
      <w:spacing w:before="120" w:after="120" w:line="260" w:lineRule="exact"/>
    </w:pPr>
    <w:rPr>
      <w:rFonts w:ascii="Arial" w:hAnsi="Arial" w:cs="Arial"/>
      <w:sz w:val="20"/>
      <w:szCs w:val="20"/>
    </w:rPr>
  </w:style>
  <w:style w:type="paragraph" w:styleId="Heading1">
    <w:name w:val="heading 1"/>
    <w:basedOn w:val="Normal"/>
    <w:next w:val="Normal"/>
    <w:link w:val="Heading1Char"/>
    <w:uiPriority w:val="2"/>
    <w:qFormat/>
    <w:rsid w:val="00D60B2F"/>
    <w:pPr>
      <w:spacing w:before="360" w:after="160" w:line="300" w:lineRule="exact"/>
      <w:outlineLvl w:val="0"/>
    </w:pPr>
    <w:rPr>
      <w:b/>
      <w:color w:val="0085AC"/>
      <w:sz w:val="24"/>
      <w:szCs w:val="24"/>
    </w:rPr>
  </w:style>
  <w:style w:type="paragraph" w:styleId="Heading2">
    <w:name w:val="heading 2"/>
    <w:basedOn w:val="Normal"/>
    <w:next w:val="Normal"/>
    <w:link w:val="Heading2Char"/>
    <w:uiPriority w:val="3"/>
    <w:qFormat/>
    <w:rsid w:val="00D60B2F"/>
    <w:pPr>
      <w:spacing w:before="240"/>
      <w:outlineLvl w:val="1"/>
    </w:pPr>
    <w:rPr>
      <w:b/>
      <w:color w:val="0085AC"/>
      <w:sz w:val="22"/>
    </w:rPr>
  </w:style>
  <w:style w:type="paragraph" w:styleId="Heading3">
    <w:name w:val="heading 3"/>
    <w:basedOn w:val="Normal"/>
    <w:next w:val="Normal"/>
    <w:link w:val="Heading3Char"/>
    <w:uiPriority w:val="4"/>
    <w:qFormat/>
    <w:rsid w:val="003B56A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61215E"/>
    <w:pPr>
      <w:pBdr>
        <w:bottom w:val="single" w:sz="8" w:space="23" w:color="0085AC"/>
      </w:pBdr>
      <w:tabs>
        <w:tab w:val="left" w:pos="1276"/>
      </w:tabs>
      <w:spacing w:before="960" w:after="500" w:line="240" w:lineRule="auto"/>
      <w:contextualSpacing/>
    </w:pPr>
    <w:rPr>
      <w:rFonts w:eastAsiaTheme="majorEastAsia"/>
      <w:b/>
      <w:color w:val="0085AC"/>
      <w:spacing w:val="4"/>
      <w:kern w:val="28"/>
      <w:sz w:val="56"/>
      <w:szCs w:val="56"/>
    </w:rPr>
  </w:style>
  <w:style w:type="character" w:customStyle="1" w:styleId="TitleChar">
    <w:name w:val="Title Char"/>
    <w:aliases w:val="Document Title Char"/>
    <w:basedOn w:val="DefaultParagraphFont"/>
    <w:link w:val="Title"/>
    <w:rsid w:val="0061215E"/>
    <w:rPr>
      <w:rFonts w:ascii="Arial" w:eastAsiaTheme="majorEastAsia" w:hAnsi="Arial" w:cs="Arial"/>
      <w:b/>
      <w:color w:val="0085AC"/>
      <w:spacing w:val="4"/>
      <w:kern w:val="28"/>
      <w:sz w:val="56"/>
      <w:szCs w:val="56"/>
    </w:rPr>
  </w:style>
  <w:style w:type="character" w:customStyle="1" w:styleId="Heading1Char">
    <w:name w:val="Heading 1 Char"/>
    <w:basedOn w:val="DefaultParagraphFont"/>
    <w:link w:val="Heading1"/>
    <w:uiPriority w:val="2"/>
    <w:rsid w:val="00D60B2F"/>
    <w:rPr>
      <w:rFonts w:ascii="Arial" w:hAnsi="Arial" w:cs="Arial"/>
      <w:b/>
      <w:color w:val="0085AC"/>
      <w:sz w:val="24"/>
      <w:szCs w:val="24"/>
    </w:rPr>
  </w:style>
  <w:style w:type="character" w:customStyle="1" w:styleId="Heading2Char">
    <w:name w:val="Heading 2 Char"/>
    <w:basedOn w:val="DefaultParagraphFont"/>
    <w:link w:val="Heading2"/>
    <w:uiPriority w:val="3"/>
    <w:rsid w:val="00D60B2F"/>
    <w:rPr>
      <w:rFonts w:ascii="Arial" w:hAnsi="Arial" w:cs="Arial"/>
      <w:b/>
      <w:color w:val="0085AC"/>
      <w:szCs w:val="20"/>
    </w:rPr>
  </w:style>
  <w:style w:type="paragraph" w:styleId="ListParagraph">
    <w:name w:val="List Paragraph"/>
    <w:basedOn w:val="Normal"/>
    <w:link w:val="ListParagraphChar"/>
    <w:autoRedefine/>
    <w:uiPriority w:val="34"/>
    <w:qFormat/>
    <w:rsid w:val="00786BF1"/>
    <w:pPr>
      <w:numPr>
        <w:numId w:val="11"/>
      </w:numPr>
      <w:tabs>
        <w:tab w:val="left" w:pos="1021"/>
        <w:tab w:val="left" w:pos="1361"/>
        <w:tab w:val="left" w:pos="1701"/>
        <w:tab w:val="left" w:pos="2041"/>
        <w:tab w:val="left" w:pos="2381"/>
        <w:tab w:val="left" w:pos="2722"/>
        <w:tab w:val="left" w:pos="3062"/>
        <w:tab w:val="left" w:pos="3402"/>
      </w:tabs>
      <w:spacing w:before="60" w:after="6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916A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6AF7"/>
    <w:rPr>
      <w:rFonts w:ascii="Arial" w:hAnsi="Arial" w:cs="Arial"/>
      <w:sz w:val="20"/>
      <w:szCs w:val="20"/>
    </w:rPr>
  </w:style>
  <w:style w:type="paragraph" w:styleId="Footer">
    <w:name w:val="footer"/>
    <w:basedOn w:val="Normal"/>
    <w:link w:val="FooterChar"/>
    <w:uiPriority w:val="99"/>
    <w:unhideWhenUsed/>
    <w:rsid w:val="00440775"/>
    <w:pPr>
      <w:tabs>
        <w:tab w:val="center" w:pos="4513"/>
        <w:tab w:val="right" w:pos="8505"/>
      </w:tabs>
      <w:spacing w:before="0" w:after="0" w:line="240" w:lineRule="auto"/>
    </w:pPr>
    <w:rPr>
      <w:color w:val="A7A7A7"/>
      <w:sz w:val="16"/>
      <w:szCs w:val="16"/>
    </w:rPr>
  </w:style>
  <w:style w:type="character" w:customStyle="1" w:styleId="FooterChar">
    <w:name w:val="Footer Char"/>
    <w:basedOn w:val="DefaultParagraphFont"/>
    <w:link w:val="Footer"/>
    <w:uiPriority w:val="99"/>
    <w:rsid w:val="00440775"/>
    <w:rPr>
      <w:rFonts w:ascii="Arial" w:hAnsi="Arial" w:cs="Arial"/>
      <w:color w:val="A7A7A7"/>
      <w:sz w:val="16"/>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paragraph" w:customStyle="1" w:styleId="NumberedParagraph">
    <w:name w:val="Numbered Paragraph"/>
    <w:basedOn w:val="ListParagraph"/>
    <w:link w:val="NumberedParagraphChar"/>
    <w:uiPriority w:val="6"/>
    <w:qFormat/>
    <w:rsid w:val="0066616A"/>
    <w:pPr>
      <w:numPr>
        <w:numId w:val="10"/>
      </w:numPr>
      <w:tabs>
        <w:tab w:val="clear" w:pos="1021"/>
        <w:tab w:val="clear" w:pos="1361"/>
        <w:tab w:val="clear" w:pos="1701"/>
        <w:tab w:val="clear" w:pos="2041"/>
        <w:tab w:val="clear" w:pos="2381"/>
        <w:tab w:val="clear" w:pos="3062"/>
        <w:tab w:val="clear" w:pos="3402"/>
        <w:tab w:val="left" w:pos="680"/>
        <w:tab w:val="left" w:pos="1191"/>
        <w:tab w:val="left" w:pos="1871"/>
        <w:tab w:val="left" w:pos="3175"/>
        <w:tab w:val="left" w:pos="4366"/>
      </w:tabs>
    </w:pPr>
  </w:style>
  <w:style w:type="character" w:customStyle="1" w:styleId="Heading3Char">
    <w:name w:val="Heading 3 Char"/>
    <w:basedOn w:val="DefaultParagraphFont"/>
    <w:link w:val="Heading3"/>
    <w:uiPriority w:val="4"/>
    <w:rsid w:val="007657C5"/>
    <w:rPr>
      <w:rFonts w:ascii="Arial" w:hAnsi="Arial" w:cs="Arial"/>
      <w:b/>
      <w:sz w:val="20"/>
      <w:szCs w:val="20"/>
    </w:rPr>
  </w:style>
  <w:style w:type="character" w:customStyle="1" w:styleId="ListParagraphChar">
    <w:name w:val="List Paragraph Char"/>
    <w:basedOn w:val="DefaultParagraphFont"/>
    <w:link w:val="ListParagraph"/>
    <w:uiPriority w:val="6"/>
    <w:rsid w:val="007657C5"/>
    <w:rPr>
      <w:rFonts w:ascii="Arial" w:hAnsi="Arial" w:cs="Arial"/>
      <w:sz w:val="20"/>
      <w:szCs w:val="20"/>
    </w:rPr>
  </w:style>
  <w:style w:type="character" w:customStyle="1" w:styleId="NumberedParagraphChar">
    <w:name w:val="Numbered Paragraph Char"/>
    <w:basedOn w:val="ListParagraphChar"/>
    <w:link w:val="NumberedParagraph"/>
    <w:uiPriority w:val="6"/>
    <w:rsid w:val="007657C5"/>
    <w:rPr>
      <w:rFonts w:ascii="Arial" w:hAnsi="Arial" w:cs="Arial"/>
      <w:sz w:val="20"/>
      <w:szCs w:val="20"/>
    </w:r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A70FC"/>
    <w:pPr>
      <w:spacing w:after="0" w:line="240" w:lineRule="auto"/>
    </w:pPr>
    <w:tblPr>
      <w:tblStyleRowBandSize w:val="1"/>
      <w:tblStyleColBandSize w:val="1"/>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Pr>
    <w:tcPr>
      <w:shd w:val="clear" w:color="auto" w:fill="auto"/>
    </w:tcPr>
    <w:tblStylePr w:type="firstRow">
      <w:rPr>
        <w:b/>
        <w:bCs/>
        <w:color w:val="FFFFFF" w:themeColor="background1"/>
      </w:rPr>
      <w:tblPr/>
      <w:tcPr>
        <w:shd w:val="clear" w:color="auto" w:fill="0085AC"/>
      </w:tcPr>
    </w:tblStylePr>
    <w:tblStylePr w:type="lastRow">
      <w:rPr>
        <w:b/>
        <w:bCs/>
      </w:rPr>
      <w:tblPr/>
      <w:tcPr>
        <w:tcBorders>
          <w:top w:val="double" w:sz="4" w:space="0" w:color="0085AC"/>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297C14"/>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61215E"/>
    <w:rPr>
      <w:rFonts w:ascii="Arial" w:eastAsiaTheme="majorEastAsia" w:hAnsi="Arial" w:cs="Arial"/>
      <w:b w:val="0"/>
      <w:color w:val="0085AC"/>
      <w:spacing w:val="4"/>
      <w:kern w:val="28"/>
      <w:sz w:val="40"/>
      <w:szCs w:val="56"/>
    </w:rPr>
  </w:style>
  <w:style w:type="character" w:styleId="PlaceholderText">
    <w:name w:val="Placeholder Text"/>
    <w:basedOn w:val="DefaultParagraphFont"/>
    <w:uiPriority w:val="99"/>
    <w:semiHidden/>
    <w:rsid w:val="001E1668"/>
    <w:rPr>
      <w:color w:val="808080"/>
    </w:rPr>
  </w:style>
  <w:style w:type="table" w:customStyle="1" w:styleId="DOETable1Labradorite">
    <w:name w:val="DOE Table 1 (Labradorite)"/>
    <w:basedOn w:val="ListTable4-Accent6"/>
    <w:uiPriority w:val="99"/>
    <w:rsid w:val="00624C3B"/>
    <w:rPr>
      <w:rFonts w:ascii="Arial" w:hAnsi="Arial"/>
      <w:sz w:val="20"/>
      <w:szCs w:val="20"/>
      <w:lang w:eastAsia="en-AU"/>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2Labradorite">
    <w:name w:val="DOE Table 2 (Labradorite)"/>
    <w:basedOn w:val="DOETable1Labradorite"/>
    <w:uiPriority w:val="99"/>
    <w:rsid w:val="00624C3B"/>
    <w:rPr>
      <w:color w:val="000000" w:themeColor="text1"/>
    </w:rPr>
    <w:tblPr/>
    <w:tcPr>
      <w:shd w:val="clear" w:color="auto" w:fill="auto"/>
    </w:tcPr>
    <w:tblStylePr w:type="firstRow">
      <w:rPr>
        <w:b/>
        <w:bCs/>
        <w:color w:val="FFFFFF" w:themeColor="background1"/>
      </w:rPr>
      <w:tblPr/>
      <w:tcPr>
        <w:tcBorders>
          <w:top w:val="single" w:sz="4" w:space="0" w:color="0085AC"/>
          <w:left w:val="single" w:sz="4" w:space="0" w:color="0085AC"/>
          <w:bottom w:val="single" w:sz="4" w:space="0" w:color="FFFFFF" w:themeColor="background1"/>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StylePr>
    <w:tblStylePr w:type="band1Vert">
      <w:tblPr/>
      <w:tcPr>
        <w:shd w:val="clear" w:color="auto" w:fill="BFE1EA"/>
      </w:tcPr>
    </w:tblStylePr>
    <w:tblStylePr w:type="band2Horz">
      <w:tblPr/>
      <w:tcPr>
        <w:shd w:val="clear" w:color="auto" w:fill="BFE1EA"/>
      </w:tcPr>
    </w:tblStylePr>
  </w:style>
  <w:style w:type="table" w:customStyle="1" w:styleId="DOETable3Labradorite">
    <w:name w:val="DOE Table 3 (Labradorite)"/>
    <w:basedOn w:val="DOETable2Labradorite"/>
    <w:uiPriority w:val="99"/>
    <w:rsid w:val="00624C3B"/>
    <w:tblPr/>
    <w:tcPr>
      <w:shd w:val="clear" w:color="auto" w:fill="BFE1EA"/>
    </w:tcPr>
    <w:tblStylePr w:type="firstRow">
      <w:rPr>
        <w:b/>
        <w:bCs/>
        <w:color w:val="FFFFFF" w:themeColor="background1"/>
      </w:rPr>
      <w:tblPr/>
      <w:tcPr>
        <w:tcBorders>
          <w:top w:val="single" w:sz="4" w:space="0" w:color="0085AC"/>
          <w:left w:val="single" w:sz="4" w:space="0" w:color="0085AC"/>
          <w:bottom w:val="nil"/>
          <w:right w:val="single" w:sz="4" w:space="0" w:color="0085AC"/>
          <w:insideH w:val="nil"/>
          <w:insideV w:val="single" w:sz="4" w:space="0" w:color="FFFFFF" w:themeColor="background1"/>
          <w:tl2br w:val="nil"/>
          <w:tr2bl w:val="nil"/>
        </w:tcBorders>
        <w:shd w:val="clear" w:color="auto" w:fill="0085AC"/>
      </w:tcPr>
    </w:tblStylePr>
    <w:tblStylePr w:type="lastRow">
      <w:rPr>
        <w:b/>
        <w:bCs/>
        <w:color w:val="FFFFFF" w:themeColor="background1"/>
      </w:rPr>
      <w:tblPr/>
      <w:tcPr>
        <w:tcBorders>
          <w:top w:val="double" w:sz="4" w:space="0" w:color="FFFFFF" w:themeColor="background1"/>
          <w:bottom w:val="single" w:sz="4" w:space="0" w:color="0085AC"/>
          <w:insideV w:val="single" w:sz="4" w:space="0" w:color="FFFFFF" w:themeColor="background1"/>
        </w:tcBorders>
        <w:shd w:val="clear" w:color="auto" w:fill="0085AC"/>
      </w:tcPr>
    </w:tblStylePr>
    <w:tblStylePr w:type="firstCol">
      <w:rPr>
        <w:b/>
        <w:bCs/>
        <w:color w:val="FFFFFF" w:themeColor="background1"/>
      </w:rPr>
      <w:tblPr/>
      <w:tcPr>
        <w:tcBorders>
          <w:insideH w:val="single" w:sz="4" w:space="0" w:color="FFFFFF" w:themeColor="background1"/>
        </w:tcBorders>
        <w:shd w:val="clear" w:color="auto" w:fill="0085AC"/>
      </w:tcPr>
    </w:tblStylePr>
    <w:tblStylePr w:type="lastCol">
      <w:rPr>
        <w:b/>
        <w:bCs/>
      </w:rPr>
      <w:tblPr/>
      <w:tcPr>
        <w:shd w:val="clear" w:color="auto" w:fill="BFE1EA"/>
      </w:tcPr>
    </w:tblStylePr>
    <w:tblStylePr w:type="band1Vert">
      <w:tblPr/>
      <w:tcPr>
        <w:shd w:val="clear" w:color="auto" w:fill="BFE1EA"/>
      </w:tcPr>
    </w:tblStylePr>
    <w:tblStylePr w:type="band2Vert">
      <w:tblPr/>
      <w:tcPr>
        <w:shd w:val="clear" w:color="auto" w:fill="BFE1EA"/>
      </w:tcPr>
    </w:tblStylePr>
    <w:tblStylePr w:type="band1Horz">
      <w:tblPr/>
      <w:tcPr>
        <w:shd w:val="clear" w:color="auto" w:fill="BFE1EA"/>
      </w:tcPr>
    </w:tblStylePr>
    <w:tblStylePr w:type="band2Horz">
      <w:tblPr/>
      <w:tcPr>
        <w:shd w:val="clear" w:color="auto" w:fill="BFE1EA"/>
      </w:tcPr>
    </w:tblStylePr>
  </w:style>
  <w:style w:type="table" w:customStyle="1" w:styleId="DOETable4Labradorite">
    <w:name w:val="DOE Table 4 (Labradorite)"/>
    <w:basedOn w:val="DOETable1Labradorite"/>
    <w:uiPriority w:val="99"/>
    <w:rsid w:val="00487149"/>
    <w:tblPr/>
    <w:tcPr>
      <w:shd w:val="clear" w:color="auto" w:fill="auto"/>
    </w:tcPr>
    <w:tblStylePr w:type="firstRow">
      <w:rPr>
        <w:b/>
        <w:bCs/>
        <w:color w:val="auto"/>
      </w:rPr>
      <w:tblPr/>
      <w:tcPr>
        <w:tcBorders>
          <w:top w:val="single" w:sz="2" w:space="0" w:color="0085AC"/>
          <w:left w:val="single" w:sz="2" w:space="0" w:color="0085AC"/>
          <w:bottom w:val="single" w:sz="12" w:space="0" w:color="0085AC"/>
          <w:right w:val="single" w:sz="2" w:space="0" w:color="0085AC"/>
          <w:insideH w:val="nil"/>
          <w:insideV w:val="nil"/>
          <w:tl2br w:val="nil"/>
          <w:tr2bl w:val="nil"/>
        </w:tcBorders>
        <w:shd w:val="clear" w:color="auto" w:fill="auto"/>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1EA"/>
      </w:tcPr>
    </w:tblStylePr>
    <w:tblStylePr w:type="band2Vert">
      <w:rPr>
        <w:rFonts w:ascii="Arial" w:hAnsi="Arial"/>
        <w:sz w:val="20"/>
      </w:rPr>
    </w:tblStylePr>
    <w:tblStylePr w:type="band1Horz">
      <w:tblPr/>
      <w:tcPr>
        <w:shd w:val="clear" w:color="auto" w:fill="BFE1EA"/>
      </w:tcPr>
    </w:tblStylePr>
    <w:tblStylePr w:type="band2Horz">
      <w:tblPr/>
      <w:tcPr>
        <w:shd w:val="clear" w:color="auto" w:fill="BFE1EA"/>
      </w:tcPr>
    </w:tblStylePr>
  </w:style>
  <w:style w:type="paragraph" w:styleId="BalloonText">
    <w:name w:val="Balloon Text"/>
    <w:basedOn w:val="Normal"/>
    <w:link w:val="BalloonTextChar"/>
    <w:uiPriority w:val="99"/>
    <w:semiHidden/>
    <w:unhideWhenUsed/>
    <w:rsid w:val="00A95DF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andplanning@education.wa.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D693BF-4A2E-43A8-92E3-4D1EC728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AHMAD Ikmal [Asset Planning and Services]</cp:lastModifiedBy>
  <cp:revision>5</cp:revision>
  <cp:lastPrinted>2021-10-06T05:35:00Z</cp:lastPrinted>
  <dcterms:created xsi:type="dcterms:W3CDTF">2022-12-12T08:42:00Z</dcterms:created>
  <dcterms:modified xsi:type="dcterms:W3CDTF">2022-12-12T08:55:00Z</dcterms:modified>
  <cp:contentStatus/>
</cp:coreProperties>
</file>